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15.1998.149 vom 21. September 1998</w:t>
      </w:r>
    </w:p>
    <w:p>
      <w:r>
        <w:t>TI Tribunale d'appello, 1998-09-21, IT</w:t>
      </w:r>
    </w:p>
    <w:p>
      <w:r>
        <w:rPr>
          <w:b/>
        </w:rPr>
        <w:t xml:space="preserve">Quelle: </w:t>
      </w:r>
      <w:r>
        <w:t>https://mcp.opencaselaw.ch/entscheid/ti_gerichte_15.1998.149</w:t>
      </w:r>
    </w:p>
    <w:p>
      <w:r>
        <w:t>FR: TI_GERICHTE 15.1998.149 du 21 septembre 1998</w:t>
      </w:r>
    </w:p>
    <w:p>
      <w:r>
        <w:t>IT: TI_GERICHTE 15.1998.149 del 21 settembre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Essendo annotato sul fondo posto in vendita un diritto di differimento dello scioglimento della comproprietà a norma dell’art. 650 CC, della durata di 30 anni, di grado posteriore alle iscrizioni ipotecarie, iscritto a RF senza il consenso del creditore ipotecario, il fondo verrà realizzato a norma degli art. 142 LEF e __________, cioè mediante doppio turno d’asta. Con il primo turno d’asta il fondo verrà realizzato con l’aggravio e nel secondo turno d’asta il fondo sarà realizzato senza l’aggravio. Il fondo verrà aggiudicato all’offerente di somma maggiore. “ “</w:t>
      </w:r>
    </w:p>
    <w:p>
      <w:r>
        <w:rPr>
          <w:b/>
        </w:rPr>
        <w:t>E. 17</w:t>
      </w:r>
    </w:p>
    <w:p>
      <w:r>
        <w:t>Con l’aggiudicazione del fondo è obbligatoriamente connesso un diritto di compera gratuito per l’acquisto del 3% (ndr. rispettivamente del 15,5%) dell’intero capitale azionario (nominativo) pari a fr. 3’000’000.-- della Comunione dei comproprietari __________ __________ composto da 90 (ndr. __________ azioni nominative da fr. 1’000.--nominali cadauna. L’acquirente riceve queste azioni in comproprietà secondo le disposizioni dell’art. 646 e ss. CC. Vengono inoltre acquisiti tutti i diritti e i doveri contenuti nel regolamento sull’uso e l’amministrazione menzionato a registro fondiario. Il prezzo di acquisto delle azioni ammonta fr. 90’000.-- (ndr. 465’000.--). Il diritto di compera verrà esercitato mediante pagamento di tale importo alla Massa concordataria __________ (ndr. __________). Il passaggio dei diritti di comproprietà sulle azioni si trasmetterà con il ricevimento del prezzo di acquisto da parte della __________ (ndr. __________). Questo diritto si estinguerà 30 giorni dopo l’aggiudicazione della quota di comproprietà.”; che con ricorsi 17 luglio 1997 __________, __________, la __________, la __________ la __________ e la __________ chiedevano l’annullamento delle condizioni d’asta n. __________ e n. __________ relative alla quota di comproprietà del 3% e del 15,5% rispettivamente della __________ in liquidazione concordataria, e della __________ in liquidazione concordataria; che con sentenza 17 aprile 1998 questa Camera dichiarava I ricorsi 17 luglio 1997 di __________, __________ __________, __________ __________, __________ ____________________, __________, __________, irricevibili per carenza di legittimazione; che tale sentenza è stata impugnata con ricorso al Tribunale federale presentato il 4 maggio 1998 da __________, __________ __________, __________, __________ che con sentenza 14 agosto 1998 il Tribunale federale ha parzialmente accolto il ricorso invitando l’Autorità di vigilanza, dopo aver esaminato i ricorsi dal profilo formale e materiale, ad emanare una nuova decisione limitatamente ai ricorrenti __________, __________, __________ __________ che con scritto 2 settembre 1998 il legale dei ricorrenti dichiarava di ritirare i gravami; che di conseguenza i ricorsi 17 luglio 1997 di __________ __________ __________, __________ __________ __________, __________, __________ __________ __________, vanno stralciati dai ruoli; che non si prelevano spese (art. 61 cpv. 2 lett. a OTLEF) e non si assegnano indennità (art. 62 cpv. 2 OTLEF), perché così è disciplinato per normativa di diritto federale. Richiamati gli art. 17 LEF, 61 cpv. 2 lett. a e 62 cpv. 2 OTLEF pronuncia:              1. I ricorsi 17 luglio 1997 di __________, __________, __________ __________, __________, __________, __________ __________, __________ __________, __________ sono stralciati dai ruoli. 2. Non si prelevano spese,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 - __________ Per la Camera di esecuzione e fallimenti del Tribunale d’appello quale autorità di vigilanza Il vicepresidente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