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15.1998.141 vom 15. Dezember 1998</w:t>
      </w:r>
    </w:p>
    <w:p>
      <w:r>
        <w:t>TI Tribunale d'appello, 1998-12-15, IT</w:t>
      </w:r>
    </w:p>
    <w:p>
      <w:r>
        <w:rPr>
          <w:b/>
        </w:rPr>
        <w:t xml:space="preserve">Quelle: </w:t>
      </w:r>
      <w:r>
        <w:t>https://mcp.opencaselaw.ch/entscheid/ti_gerichte_15.1998.141</w:t>
      </w:r>
    </w:p>
    <w:p>
      <w:r>
        <w:t>FR: TI_GERICHTE 15.1998.141 du 15 décembre 1998</w:t>
      </w:r>
    </w:p>
    <w:p>
      <w:r>
        <w:t>IT: TI_GERICHTE 15.1998.141 del 15 dicembre 1998</w:t>
      </w:r>
    </w:p>
    <w:p>
      <w:pPr>
        <w:pStyle w:val="Heading2"/>
      </w:pPr>
      <w:r>
        <w:t>Erwägungen</w:t>
      </w:r>
    </w:p>
    <w:p>
      <w:r>
        <w:rPr>
          <w:b/>
        </w:rPr>
        <w:t>E. 2</w:t>
      </w:r>
    </w:p>
    <w:p>
      <w:r>
        <w:t>Il ricorrente pretende il riconoscimento dei maggiori costi causati dal  soggiorno delle figlie presso il proprio domicilio per 10/12 giorni al mese. L’Ufficio ha già riconosciuto, alla voce spese supplementari figlie, l’importo mensile di fr. 502.--. Orbene, il punto 1.2.1 della Tabella dei minimi di esistenza agli effetti del diritto esecutivo edita da questa Camera prevede, quale supplemento all’importo base mensile, fr. 500 per la figlia __________ e fr. 400.-- per la figlia __________. Quindi in totale al ricorrente potrebbero venire riconosciuti fr. 900.-- mensili, ma solo nell’ipotesi che le figlie vivano sempre con il padre. Nel caso di specie il ricorrente afferma di doversi occupare delle figlie unicamente per 10/12 giorni al mese. Quindi egli avrebbe diritto ad un supplemento dell’importo base mensile pari a fr. 360.-- =(fr. 30.-- x 12 giorni). Avendo l’UEF di Bellinzona già riconosciuto per tali spese l’importo di fr. 502.--, non esiste la possibilità di operare ulteriori deduzioni. Abbondanzialmente va rilevato che il ricorrente fonda la propria pretesa unicamente sul calcolo effettuato dall’Istituto delle assicurazioni sociali nella determinazione della rendita complementare AVS (doc.E) senza dimostrare che gli importi di cui è chiesta la deduzione vengano effettivamente pagati, così come previsto dalla giurisprudenza del Tribunale federale (cfr. DTF 121 III 20).</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