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15.1998.136 vom 23. Oktober 1998</w:t>
      </w:r>
    </w:p>
    <w:p>
      <w:r>
        <w:t>TI Tribunale d'appello, 1998-10-23, IT</w:t>
      </w:r>
    </w:p>
    <w:p>
      <w:r>
        <w:rPr>
          <w:b/>
        </w:rPr>
        <w:t xml:space="preserve">Quelle: </w:t>
      </w:r>
      <w:r>
        <w:t>https://mcp.opencaselaw.ch/entscheid/ti_gerichte_15.1998.136</w:t>
      </w:r>
    </w:p>
    <w:p>
      <w:r>
        <w:t>FR: TI_GERICHTE 15.1998.136 du 23 octobre 1998</w:t>
      </w:r>
    </w:p>
    <w:p>
      <w:r>
        <w:t>IT: TI_GERICHTE 15.1998.136 del 23 ottobre 1998</w:t>
      </w:r>
    </w:p>
    <w:p>
      <w:pPr>
        <w:pStyle w:val="Heading2"/>
      </w:pPr>
      <w:r>
        <w:t>Regeste</w:t>
      </w:r>
    </w:p>
    <w:p>
      <w:r>
        <w:t>Sentenza o decisione senza scheda</w:t>
      </w:r>
    </w:p>
    <w:p>
      <w:pPr>
        <w:pStyle w:val="Heading2"/>
      </w:pPr>
      <w:r>
        <w:t>Erwägungen</w:t>
      </w:r>
    </w:p>
    <w:p>
      <w:r>
        <w:rPr>
          <w:b/>
        </w:rPr>
        <w:t>E. 2</w:t>
      </w:r>
    </w:p>
    <w:p>
      <w:r>
        <w:t>Il ricorrente chiede che venga effettuata la perizia degli immobili pignorati. Nelle sue osservazioni l’UEF di Blenio ha affermato di aver richiesto al creditore l’anticipo spese per l’allestimento della perizia (cfr. doc. D). Tale anticipo è stato versato in data 13 agosto 1998 e la relazione di stima sarà allestita entro la fine del 1998. Ne consegue che l'UEF di Blenio si è determinato correttamente e il gravame su questo punto va respinto.</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