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15.1998.133 vom 23. Oktober 1998</w:t>
      </w:r>
    </w:p>
    <w:p>
      <w:r>
        <w:t>TI Tribunale d'appello, 1998-10-23, IT</w:t>
      </w:r>
    </w:p>
    <w:p>
      <w:r>
        <w:rPr>
          <w:b/>
        </w:rPr>
        <w:t xml:space="preserve">Quelle: </w:t>
      </w:r>
      <w:r>
        <w:t>https://mcp.opencaselaw.ch/entscheid/ti_gerichte_15.1998.133</w:t>
      </w:r>
    </w:p>
    <w:p>
      <w:r>
        <w:t>FR: TI_GERICHTE 15.1998.133 du 23 octobre 1998</w:t>
      </w:r>
    </w:p>
    <w:p>
      <w:r>
        <w:t>IT: TI_GERICHTE 15.1998.133 del 23 ottobre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Secondo il punto 1.1 della Tabella dei minimi di esistenza agli effetti del diritto esecutivo edita da questa Camera (in seguito: Tabella),l’importo base di fr. 1’025.-- è comprensivo delle spese di sostentamento. Il debitore che è costretto, per motivi di lavoro, a prendere i pasti fuori dell’economia domestica ha diritto a un supplemento da fr. 6.-- a fr. 9.-- per ogni pasto principale (cfr. Tabella, punto 2.4.3).</w:t>
      </w:r>
    </w:p>
    <w:p>
      <w:r>
        <w:rPr>
          <w:b/>
        </w:rPr>
        <w:t>E. 3</w:t>
      </w:r>
    </w:p>
    <w:p>
      <w:r>
        <w:t>Orbene, nel caso di specie il ricorrente non esercita alcuna attività lucrativa e motiva la sua richiesta unicamente con l’impossibilità di cucinare al proprio domicilio e l’esigenza di attenersi ad un’alimentazione particolare per motivi di salute. Le motivazioni addotte dal debitore non possono essere condivise, poiché la sola impossibilità, peraltro non dimostrata, di non poter prendere i pasti all’interno dell’economia domestica e la necessità di seguire un regime dietetico particolare, non possono giustificare una deduzione come quella prospettata dal ricorrente pari a circa fr. 1’300.-- mensili. Le spese per il vitto per una persona che non esercita un’attività lucrativa e quindi non è costretto a consumare i pasti fuori dall’economia domestica sono infatti già comprese nell’importo base mensile di fr. 1’025.--. Il ricorrente è quindi invitato a cercare una soluzione più economica e consona alla propria situazione finanziaria per far fronte alle spese di sostentamento, atteso che non é possibile riconoscergli ulteriori deduzioni.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presidente: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