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15.1998.124 vom 11. Dezember 1998</w:t>
      </w:r>
    </w:p>
    <w:p>
      <w:r>
        <w:t>TI Tribunale d'appello, 1998-12-11, IT</w:t>
      </w:r>
    </w:p>
    <w:p>
      <w:r>
        <w:rPr>
          <w:b/>
        </w:rPr>
        <w:t xml:space="preserve">Quelle: </w:t>
      </w:r>
      <w:r>
        <w:t>https://mcp.opencaselaw.ch/entscheid/ti_gerichte_15.1998.124</w:t>
      </w:r>
    </w:p>
    <w:p>
      <w:r>
        <w:t>FR: TI_GERICHTE 15.1998.124 du 11 décembre 1998</w:t>
      </w:r>
    </w:p>
    <w:p>
      <w:r>
        <w:t>IT: TI_GERICHTE 15.1998.124 del 11 dicembre 1998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punto 2.4.3 della Tabella prevede per chi è costretto a prendere pasti fuori dell’economia domestica un importo da fr. 6.-- a fr. 9.-- per ogni pasto principale. Il debitore esercita l’attività di meccanico di macchine da scrivere ed è ipotizzabile che egli non rientri tutti i giorni al proprio domicilio, dovendo recarsi a visitare i clienti. L’UEF di Bellinzona ha  quindi correttamente riconosciuto, sulla base del punto 24.3., l’importo mensile di fr. 120.-- per pasti fuori domicilio, mentre non ha effettuato alcuna deduzione per le spese di trasferta.</w:t>
      </w:r>
    </w:p>
    <w:p>
      <w:r>
        <w:rPr>
          <w:b/>
        </w:rPr>
        <w:t>E. 3</w:t>
      </w:r>
    </w:p>
    <w:p>
      <w:r>
        <w:t>Sulla base di quanto esposto sopra il calcolo dell’eccedenza pignorabile a carico dell’escusso si presenta come segue: reddito                            fr. 4’479.-- importi di base                                                              fr. 1’370.-- figli minorenni                                                                fr. 620.-- affitto                                                                              fr. 1’308.-- AVS                                                                                fr. 156.-- cassa malati                                                                  fr. 660.-- pasti fuori domicilio                                                      fr. 120.-- spese partecipazioni cassa malati                             fr.      51.-- totale                                                                              fr. 4’285.-- eccedenza pignorabile fr.  194.--</w:t>
      </w:r>
    </w:p>
    <w:p>
      <w:r>
        <w:rPr>
          <w:b/>
        </w:rPr>
        <w:t>E. 4</w:t>
      </w:r>
    </w:p>
    <w:p>
      <w:r>
        <w:t>In conclusione si devono purtroppo rilevare le pesanti accuse rivolte dal legale della creditrice all’indirizzo dei funzionari dell’UEF di Bellinzona. Tali accuse appaiono di primo acchito infondate e non suffragate da elementi concreti, ma sono unicamente usate per motivare un ricorso ex art. 17 LEF. Orbene un simile atteggiamento deve quindi essere censurato, nella misura in cui esso è destinato unicamente a fini ricorsuali e l'espressione "che hanno tutto il sapore del piacere reso all'amico e al clienti insistente "(cfr. ricorso, p. 3, n. 5) va depennata siccome sconveniente ex art. 7 cpv.</w:t>
      </w:r>
    </w:p>
    <w:p>
      <w:r>
        <w:rPr>
          <w:b/>
        </w:rPr>
        <w:t>E. 6</w:t>
      </w:r>
    </w:p>
    <w:p>
      <w:r>
        <w:t>LPR.</w:t>
      </w:r>
    </w:p>
    <w:p>
      <w:r>
        <w:t>5.Ne consegue il parziale accoglimento del gravame.</w:t>
      </w:r>
    </w:p>
    <w:p>
      <w:r>
        <w:t>Non si prelevano spese (art. 20a cpv. 1 primo periodo LEF, 61 cpv. 2 lett. a OTLEF) e non si assegnano indennità (art. 62 cpv. 2 OTLEF), perché così è disciplinato per normativa di diritto federale.</w:t>
      </w:r>
    </w:p>
    <w:p>
      <w:r>
        <w:t>Richiamati gli art. 17 e 93 LEF</w:t>
      </w:r>
    </w:p>
    <w:p>
      <w:r>
        <w:t>pronuncia:            1.Il ricorso 30 giugno 1998 __________ è parzialmente accolto</w:t>
      </w:r>
    </w:p>
    <w:p>
      <w:r>
        <w:t>2.La decisone 24 giugno 1998 dellUEF di Bellinzona nellesecuzione n. __________ a carico di __________ è riformata nel senso che è ordinato il pignoramento a carico di __________, dellimporto di fr. 194.-- mensili a far tempo dal 1° gennaio 1999.</w:t>
      </w:r>
    </w:p>
    <w:p>
      <w:r>
        <w:t>3.È depennata l'espressione "che hanno tutto il sapore del piacere reso all'amico o al cliente insistente" a p. 3, del ricorso 30 giugno 1998 dell'avv. __________.</w:t>
      </w:r>
    </w:p>
    <w:p>
      <w:r>
        <w:t>4.Non si prelevano spese, né si assegnano indennità.</w:t>
      </w:r>
    </w:p>
    <w:p>
      <w:r>
        <w:t>5.Contro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6.Intimazione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