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15.1998.00153 vom 8. November 1999</w:t>
      </w:r>
    </w:p>
    <w:p>
      <w:r>
        <w:t>TI Tribunale d'appello, 1999-11-08, IT</w:t>
      </w:r>
    </w:p>
    <w:p>
      <w:r>
        <w:rPr>
          <w:b/>
        </w:rPr>
        <w:t xml:space="preserve">Quelle: </w:t>
      </w:r>
      <w:r>
        <w:t>https://mcp.opencaselaw.ch/entscheid/ti_gerichte_15.1998.00153</w:t>
      </w:r>
    </w:p>
    <w:p>
      <w:r>
        <w:t>FR: TI_GERICHTE 15.1998.00153 du 8 novembre 1999</w:t>
      </w:r>
    </w:p>
    <w:p>
      <w:r>
        <w:t>IT: TI_GERICHTE 15.1998.00153 del 8 novembre 1999</w:t>
      </w:r>
    </w:p>
    <w:p>
      <w:pPr>
        <w:pStyle w:val="Heading2"/>
      </w:pPr>
      <w:r>
        <w:t>Regeste</w:t>
      </w:r>
    </w:p>
    <w:p>
      <w:r>
        <w:t>Sentenza o decisione senza scheda</w:t>
      </w:r>
    </w:p>
    <w:p>
      <w:pPr>
        <w:pStyle w:val="Heading2"/>
      </w:pPr>
      <w:r>
        <w:t>Erwägungen</w:t>
      </w:r>
    </w:p>
    <w:p>
      <w:r>
        <w:rPr>
          <w:b/>
        </w:rPr>
        <w:t>E. 2</w:t>
      </w:r>
    </w:p>
    <w:p>
      <w:r>
        <w:t>La rimunerazione dell’amministrazione fallimentare ordinaria e di quella speciale ha luogo, in teoria (art. 43 e 47 OTLEF), secondo gli stessi canoni dedotti dagli art. 44-47 OTLEF. In pratica, l'ufficio dei fallimenti, retribuito dal Cantone, tende ad applicare le tariffe - definite dall'amministrazione "tasse" - previste dagli art. 44-46 OTLEF, mentre l'amministrazione fallimentare speciale, non soggetta alla LORD (Legge sull'ordinamento degli impiegati dello Stato e dei docenti, del 15 marzo 1995, in: RL 2.5.4.1), predilige la rimunerazione superiore prevista dall'art. 47 OTLEF per le "procedure complesse". Siffatto modo di procedere non appare sempre giustificato.</w:t>
      </w:r>
    </w:p>
    <w:p>
      <w:r>
        <w:rPr>
          <w:b/>
        </w:rPr>
        <w:t>E. 3</w:t>
      </w:r>
    </w:p>
    <w:p>
      <w:r>
        <w:t>lett. b seconda parte OTLEF); -     se è stata designata la delegazione dei creditori, per ogni ora di seduta sono riconosciuti fr. 120.-- al presidente e al segretario (art. 46 cpv. 3 lett. a OTLEF) e fr. 100.-- agli altri membri della delegazione (art. 46 cpv. 3 lett. b prima parte OTLEF); -     per operazioni fuori seduta, l'indennità è di fr. 100.-- all'ora per tutti (Art. 46 cpv. 4 OTLEF). 4.a) L'art. 47 OTLEF disciplina la rimunerazione straordinaria per le procedure complesse. Essa viene fissata dall'Autorità di vigilanza, che per l'art. 2 prima proposizione OTLEF sorveglia l'applicazione della OTLEF. La determinazione della rimunerazione ex art. 47 OTLEF nell'ipotesi di amministrazione fallimentare speciale rientra nella competenza originaria della CEF, il cui giudizio - non preceduto da alcun provvedimento autonomo degli organi d'esecuzione forzata, che si devono limitare all'invio di una proposta di tassazione (cfr. Cometta, op. cit., n. 3.2.4.4 ad art. 1, nota 78, p. 43) - è impugnabile al Tribunale federale con il ricorso dell'art. 19 LEF (art. 2 seconda proposizione OTLEF). Le stesse modalità possono valere mutatis mutandis anche nel caso di specie, benché la __________ proceda solo come persona ausiliaria, senza le accresciute responsabilità che continuano a rimanere all'organo d'esecuzione forzata ordinario. b) Se la procedura richiede indagini approfondite della fattispecie o giuridiche,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c) Con tempo impiegato si intende quello che ragionevolmente doveva esserlo,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d) Le funzioni di  persona ausiliaria, come peraltro e in misura maggiore quelle di amministrazione fallimentare - sia ordinaria che speciale - costituiscono esercizio di incombenze di natura pubblica e di conseguenza le prestazioni connesse sono sottoposte alla OTLEF e al principio di esclusività dedotto dall’art. 1. La rimunerazione non è in funzione di tariffe calcolate su base commerciale o corporativa ma costituisce emolumento di diritto amministrativo volto a procurare solo un equo indennizzo nell’ossequio del carattere sociale della normativa dedotta dalla OTLEF (STF [CEF] 3 settembre 1998 in re Afs E. A. B. c. Cassa S. cons. 3; DTF 120 III 100 cons. 2; DTF 108 III 69 cons. 2 ["Die Aufsichtsbehörde hat zu beachten, dass die Gebührenordnung des Tarifs auf sozialen Überlegungen beruht und dass nicht unbegrenzt hohe Forderungen der Konkursmasse belastet werden dürfen"]; DTF 103 III 68 n. 4 (Lettera 30 novembre 1977 della Camera delle esecuzioni e dei fallimenti all'Autorità di vigilanza del Cantone Ginevra); CEF 6 maggio 1998 in re Cassa S. c. Afs E. A. B. cons. 2; CEF 10 gennaio 1989 in re S. B.; CEF 20 aprile 1988 in re R. B. e G. F. cons. 7a; Michel Ochsner / Jacques Reymond, La saisie et la réalisation, in: La LP révisée, Collana CEDIDAC vol. 35, Losanna 1997, p. 89; Léon Strässle, Der neue Gebührentarif, in: BlSchK 1971, p. 130-132). È pertanto ammissibile restare, ad esempio, sotto il limite inferiore della Tariffa dell'Ordine degli avvocati del Cantone Ticino. Se per l'organo esecutivo ausiliario agisce un avvocato libero professionista, la sua attività può essere retribuita come nel caso del gratuito patrocinio nell’assistenza giudiziaria secondo il diritto cantonale (CEF 2 marzo 1995 in re T. P. SA). Lo stesso vale per la tariffa della Camera svizzera delle società fiduciarie e degli esperti contabili (CEF 12 luglio 1994 quale autorità cantonale di vigilanza su reclamo S.- u. H. L. in liq. conc. e B. R. L. e R. s/A. in re F. J. B.). È un dato della comune esperienza che, anche nell’ipotesi che si tratti di una procedura fallimentare complessa, non si pongono in linea di principio solo questioni complicate: di regola è opportuno eseguire un calcolo misto. Si possono considerare i seguenti criteri (cfr. Cometta, op. cit., n. 3.2.4.4.c ad art. 1, p. 44 s.): -     un collaboratore giuridico, non libero professionista, va remunerato in termini leggermente inferiori per raffronto all'avvocato; -     il collaboratore accademico avrà rimunerazione superiore al non accademico, come pure il qualificato in altro modo rispetto al non qualificato; -     le indicazioni tariffali dovranno considerare che i giudici supplenti del Tribunale federale e del Tribunale federale delle assicurazioni hanno diritto - per lo studio di inserti e la stesura di rapporti - a un’indennità oraria di fr. 140.-- se esercitano una libera professione e di fr. 85.-- negli altri casi (art. 2 cpv. 1ter dell'Ordinanza che stabilisce le indennità di viaggio e le diarie dei membri del Tribunale federale e del Tribunale federale delle assicurazioni, in: RS 173.122, nella formulazione come alla modifica del 20 maggio 1998, in vigore dal 1. luglio 1998, non ancora in RS [cfr. RU 1998, p. 1502]. A titolo orientativo e mutatis mutandis si consideri che nel Cantone Ticino: a) ai medici specialisti FMH, membri della Commissione giuridica ex art. 14 LASP [Legge sull'assistenza sociopsichiatrica del 26 gennaio 1983, in: RL 6.3.2.1], è riconosciuta un'indennità di fr. 140.-- l'ora più le spese di trasferta (cfr. risoluzione 7 agosto 1996 del Consiglio di Stato, dispositivo n. 5, in: __________); b) il presidente del Tribunale arbitrale in materia di assicurazione contro le malattie e gli infortuni riscuote, se libero professionista, un'indennità di fr. 600.-- per giornata intera - corrispondente a fr. 75.-- per 8 ore lavorative al giorno - "per le incombenze affidategli, tutto compreso" (cfr. art. 15 cpv. 1 seconda proposizione del Regolamento del Consiglio di Stato del 18 marzo 1998 concernente l'organizzazione e la procedura del Tribunale arbitrale in materia di assicurazione contro le malattie e gli infortuni, in: BU 1998, p. 80, con il solo rilievo che per l'uso del veicolo privato in trasferta sono riconosciuti fr. 0.55 al km e per il pasto principale fr. 18.-- [cfr. art. 4 e 5 del Regolamento sulle indennità, in: RL 2.5.4.4.1, cui rinviano gli art. 14 cpv. 2 e 15 cpv. 3 del citato Regolamento 18 marzo 1998]); -     l'art. 36 LTG (in: RL 3.1.1.5) prevede per il patrocinatore d'ufficio in caso di assistenza giudiziaria (art. 155 ss. CPC ) un onorario dovuto dallo Stato pari al 70% di quello previsto dalla tariffa dell'Ordine degli avvocati del Cantone Ticino. In questo contesto, il Tribunale federale [I Corte di diritto pubblico] nella sentenza 31 gennaio 1996 su ricorso di diritto pubblico in re avv. G. c. Tribunal de première instance du Canton de Genève si è espresso nel senso che la prestazione professionale di un avvocato d'ufficio va retribuita in termini di equità tra Fr. 121.60 e Fr. 152.-- all'ora. Per l'art. 10 cpv. 1 TOA (in: RL 3.2.1.1.2) l'onorario minimo in base al dispendio orario è di regola di fr. 150.--. Il Tribunale federale ha già avuto modo di stabilire che è ammissibile retribuire gli avvocati nell'ambito dell'amministrazione di un fallimento come nei casi di un patrocinio d'ufficio (STF [CEF] 3 settembre 1998 in re Afs E. A. B. c. Cassa S. cons. 5; DTF 120 III 101 cons. 3a). e)   In via di grande massima, avuto riguardo al carattere sociale che de lege lata connota la OTLEF, riservato l'esame puntuale caso per caso e ammesse eccezioni limitate a prestazioni di complessità accresciuta, si possono ragionevolmente prospettare - per chi opera in funzione di amministrazione fallimentare - valori compresi tra: -  fr. 140.--/170.--           per i liberi professionisti con titolo accademico (avvocati, economisti, ecc.); -  fr. 120.--/150.--           per dipendenti con titolo accademico -  fr. 110.--/140.--           per i liberi professionisti senza titolo accademico (fiduciari, commercialisti, contabili, revisori, periti, ecc.); -  fr. 100.--/130.--           per dipendenti senza titolo accademico. Per gli organi esecutivi ausiliari si giustificherebbero in linea di principio anche importi inferiori, avuto riguardo alla loro minore responsabilità per rapporto all'amministrazione fallimentare. f) Gli amministratori fallimentari non solo possono, ma anzi devono, delegare a persone ausiliarie di loro fiducia tutti i compiti di agevole esecuzione, che non richiedono particolari capacità e conoscenze specifiche. Si tratta segnatamente di mansioni contabili di semplice routine e di lavori di segretariato. Gli ausiliari sono designati e retribuiti dagli amministratori fallimentari, che restano i soli responsabili nel rapporto esterno per eventuali carenze riconducibili all'attività dei loro subalterni. Per la rimunerazione i valori sono compresi tra fr. 50.--/80.-- per chi svolge mansioni contabili e tra fr. 30.--/50.-- per lavori di segretariato. Ciò vale anche, mutatis mutandis, per gli organi esecutivi ausiliari, come è il caso per la __________ in questa evenienza g) Nel caso in cui gli organi esecutivi ausiliari e gli amministratori fallimentari ricorrano a persone particolarmente qualificate per la trattazione di questioni specifiche, la rimunerazione di tali persone ausiliarie non potrà superare i valori riconosciuti agli amministratori stessi. Sono riservate ipotesi del tutto eccezionali, per le quali è richiesto il previo consenso dell'Autorità cantonale di vigilanza in applicazione dei combinati art. 2 e 47 OTLEF. h) Sono suscettibili di indurre in errore i dati numerici che la Camera delle esecuzioni e dei fallimenti del Tribunale federale (DTF 120 III 100 s. cons. 3 a-d) ha ritenuto non essere aumentabili, come preteso dalla __________, atteso che non era oggetto d'esame - e quindi non partecipava della ratio decidendi - se tali dati fossero da reputare siccome congrui.</w:t>
      </w:r>
    </w:p>
    <w:p>
      <w:r>
        <w:rPr>
          <w:b/>
        </w:rPr>
        <w:t>E. 5</w:t>
      </w:r>
    </w:p>
    <w:p>
      <w:r>
        <w:t>Le tariffe prospettate dalla __________ non possono quindi essere confermate, in quanto non conformi ai principi giurisprudenziali evidenziati nei considerandi precedenti. La rimunerazione oraria fatturata risulta infatti essere la seguente: lic. iur. __________ fr. 200/h __________ fr. 200/h avv. __________ fr. 180/h dr.iur. __________ fr. 180/h lic. oec. __________ fr. 160/h lic. oec. __________ fr.160/h __________ fr.120/h Segretariato fr. 80/h Il caso sottoposto al giudizio di questa Camera non presenta particolari problemi, se si eccettuano le difficoltà dovute al fatto che l’unica persona a conoscenza dell’intera attività della ditta individuale fosse il defunto __________, nonché quelle connesse con la gestione degli immobili di proprietà del defunto . Di conseguenza dall’esame del dettaglio delle prestazioni fatturate, ne discende che l’attività svolta dall’amministrazione fallimentare speciale deve essere ritenuta di media difficoltà, considerando che le prestazioni che hanno richiesto un impegno intellettuale accresciuto, si pensi a titolo di esempio alle problematiche connesse con il trapasso delle attività alla __________ sono state compensate da attività di natura ordinaria quali l’evasione della corrispondenza. Avuto riguardo al carattere sociale della OTLEF e tenuto conto delle peculiarità del caso in esame, si giustifica quindi il riconoscimento delle seguenti tariffe orarie: lic. iur. __________                   fr. 165.-- __________ fr. 135.-- avv. __________                       fr. 125.-- dr.iur. __________                    fr. 125.-- lic. oec. __________                fr. 125.-- lic. oec. __________   fr. 125.-- __________                               fr. 80.-- Segretariato                               fr. 50.--</w:t>
      </w:r>
    </w:p>
    <w:p>
      <w:r>
        <w:rPr>
          <w:b/>
        </w:rPr>
        <w:t>E. 6</w:t>
      </w:r>
    </w:p>
    <w:p>
      <w:r>
        <w:t>Dall’inizio dell'attività il 1° marzo 1998 sino al 30 giugno 1998 la __________ ha dedicato alla pratica le seguenti ore di lavoro: lic. iur. __________                                              198 ore __________ 122 ore avv. __________          120 ore dr.iur. __________         43 ore lic. oec. __________     99 ore lic. oec. __________     50 ore __________ 56 ore Segretariato 172 ore Totale                                                                      860 ore Ora, prescindendo da un’analisi capillare delle singole prestazioni, il tempo impiegato dal 1° marzo 1998 sino al 30 giugno 1998, corrispondendo a circa 5 mesi di lavoro a tempo pieno, per una persona sola, non è da ritenere adeguato alle circostanze, considerando che alcune persone incaricate dall’UEF di Riviera di gestire l’eredità giacente sino alla prima assemblea dei creditori, segnatamente il dr. __________ e __________, si erano già occupati di amministrare la successione sino alla pronuncia del decreto di eredità giacente. Di conseguenza l’espletazione del mandato avrebbe dovuto essere agevolata dalle conoscenze acquisite in precedenza, ciò che non pare essere stato il caso esaminando le ore fatturate. Ad esempio per la preparazione della prima assemblea dei creditori, durata due ore e la stesura di una relazione da presentare a tale assemblea sono state fatturate 11 ore a fr.180/h e 43 ore a fr.200/h. Tale dispendio di tempo non appare sostenibile, considerando che la situazione patrimoniale allestita in occasione della prima assemblea dei creditori riveste carattere provvisorio e indicativo, essendo necessaria, per stessa ammissione degli estensori, un’ulteriore verifica e controllo in funzione delle notifiche insinuate nella procedura di liquidazione fallimentare. Di conseguenza si giustifica una riduzione delle ore esposte del 50%, per un totale complessivo di 27 ore. Analizzando le varie voci di spesa risulta evidente che il dispendio maggiore in termini di tempo impiegato è stato determinato dallo svolgimento di attività connesse con la gestione della ditta individuale __________ ed il successivo trapasso di parte delle attività alla neocostituita __________. Di conseguenza viste le peculiarità del caso in esame questa Camera non ritiene di dover effettuare ulteriori decurtazioni delle ore esposte.</w:t>
      </w:r>
    </w:p>
    <w:p>
      <w:r>
        <w:rPr>
          <w:b/>
        </w:rPr>
        <w:t>E. 7</w:t>
      </w:r>
    </w:p>
    <w:p>
      <w:r>
        <w:t>La __________ pretende il riconoscimento di un interesse del 5% a far tempo dal 30 ottobre 1998 sostenendo di aver messo in mora l’UEF di Riviera con lettera 22 ottobre 1998. Orbene tale tesi non può essere accolta, non essendo l’importo richiesto ancora esigibile, per il fatto che era la stessa __________ ad essere in mora. Infatti il ritardo nella determinazione della rimunerazione dell'organo esecutivo ausiliario non è stato provocato né dall’UEF di Riviera né da questa Camera, bensì dall’atteggiamento della __________ che ha omesso di produrre quanto richiesto, già un anno fa, in tempi brevi. Va ricordato che l'invito del 19 ottobre 1998 di inviare la documentazione necessaria è stato ossequiato dalla __________ solo il 21 settembre 1999 (cfr. narrativa fattuale sub E e F).</w:t>
      </w:r>
    </w:p>
    <w:p>
      <w:r>
        <w:rPr>
          <w:b/>
        </w:rPr>
        <w:t>E. 8</w:t>
      </w:r>
    </w:p>
    <w:p>
      <w:r>
        <w:t>Tenuto conto delle riduzioni tariffali e della decurtazione del tempo fatturato in relazione alla preparazione della prima assemblea dei creditori, la rimunerazione della __________ per il periodo 1° marzo 1998/30 giugno 1998 risulta essere la seguente: lic. iur. __________ 176,5 ore a  fr. 165/h                fr.  29’122.50 __________ 122 ore a fr. 135/h                                 fr.  16’470.-- avv. __________ 114,5 ore a fr. 125/h fr. 14’312.50 dr.iur. __________ 43 ore a fr. 125/h                        fr.    5’375.-- lic. oec. __________ 99 ore a fr. 125/h                     fr.  12’375.-- lic. oec. __________ 50 ore a fr.125/h                      fr.    6’250.-- __________ 56 ore a fr.80/h                                      fr.    4’480.-- Segretariato 172 ore a fr. 50/h                                    fr.    8’600.-- Spese                                                                            fr. 5’332.05 Totale                                                                             fr.102’317.05 Le oer per il lic. Iur __________ passano da 198 a 176,5 e per l'avv. __________ da 120 ore a 114,5 per le considerazioni espresse al consid. 6.</w:t>
      </w:r>
    </w:p>
    <w:p>
      <w:r>
        <w:rPr>
          <w:b/>
        </w:rPr>
        <w:t>E. 9</w:t>
      </w:r>
    </w:p>
    <w:p>
      <w:r>
        <w:t>Non si prelevano spese. Richiamati gli art. 1 ss., 49a OTLEF Pronuncia: 1. La rimunerazione della __________, quale organo esecutivo ausiliario è determinata in complessivi fr. 102'317.05, per il periodo 1° marzo 1998/30 giugno 1998. 2. Non si prelevano spese. 3. Contro questa decisione è dato ricorso entro dieci giorni alla Camera delle esecuzioni e dei fallimenti del Tribunale federale a Losanna, per il tramite della scrivente Camera di esecuzione e fallimenti del Tribunale d’appello, in conformità dell’art. 19 LEF, applicabile per il rinvio dell'art. 2 OTLEF. 4. Intimazione a: - __________ Comunicazione all’UEF di Riviera, Biasca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