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15.1997.78 vom 24. Oktober 1997</w:t>
      </w:r>
    </w:p>
    <w:p>
      <w:r>
        <w:t>TI Tribunale d'appello, 1997-10-24, IT</w:t>
      </w:r>
    </w:p>
    <w:p>
      <w:r>
        <w:rPr>
          <w:b/>
        </w:rPr>
        <w:t xml:space="preserve">Quelle: </w:t>
      </w:r>
      <w:r>
        <w:t>https://mcp.opencaselaw.ch/entscheid/ti_gerichte_15.1997.78</w:t>
      </w:r>
    </w:p>
    <w:p>
      <w:r>
        <w:t>FR: TI_GERICHTE 15.1997.78 du 24 octobre 1997</w:t>
      </w:r>
    </w:p>
    <w:p>
      <w:r>
        <w:t>IT: TI_GERICHTE 15.1997.78 del 24 ottobre 1997</w:t>
      </w:r>
    </w:p>
    <w:p>
      <w:pPr>
        <w:pStyle w:val="Heading2"/>
      </w:pPr>
      <w:r>
        <w:t>Regeste</w:t>
      </w:r>
    </w:p>
    <w:p>
      <w:r>
        <w:t>Sentenza o decisione senza scheda</w:t>
      </w:r>
    </w:p>
    <w:p>
      <w:pPr>
        <w:pStyle w:val="Heading2"/>
      </w:pPr>
      <w:r>
        <w:t>Erwägungen</w:t>
      </w:r>
    </w:p>
    <w:p>
      <w:r>
        <w:rPr>
          <w:b/>
        </w:rPr>
        <w:t>E. 1</w:t>
      </w:r>
    </w:p>
    <w:p>
      <w:r>
        <w:t>Ex art. 17 cpv. 2 LEF il ricorso deve essere presentato entro dieci giorni da quello in cui il ricorrente ebbe notizia del provvedimento. In casu si può prescindere dall’esaminare la tempestività del ricorso, atteso che ex art. 22 cpv. 1 LEF l’Autorità di vigilanza constata d’ufficio la nullità anche quando la decisione non sia stata impugnata.</w:t>
      </w:r>
    </w:p>
    <w:p>
      <w:r>
        <w:rPr>
          <w:b/>
        </w:rPr>
        <w:t>E. 2</w:t>
      </w:r>
    </w:p>
    <w:p>
      <w:r>
        <w:t>Nel procedere al sequestro o al pignoramento del reddito, le autorità d’esecuzione sono tennute ad accertare d’ufficio le circostanze determinanti al momento dell’esecuzione del sequestro o del pignoramento, ossia il reddito del debitore e il fabbisogno suo e della sua famiglia (DTF 112 III 21 cons. 2, 108 III 12 cons. 3, 106 III 13 cons. 2, 102 III 15 cons. 4; Amonn in ZBJV 1984 p. 470), ritenuto che delle successive modifiche della situazione potrà essere tenuto conto soltanto mediante riesame del pignoramento.</w:t>
      </w:r>
    </w:p>
    <w:p>
      <w:r>
        <w:rPr>
          <w:b/>
        </w:rPr>
        <w:t>E. 3</w:t>
      </w:r>
    </w:p>
    <w:p>
      <w:r>
        <w:t>Dall’esame del calcolo del minimo di esistenza risulta che, per assicurazioni diverse, al ricorrente è stato riconosciuto l’importo di Fr. 280.-- al mese. Dalla documentazione prodotta dall’UE di Lugano emerge che per l’assicurazione stabile il ricorrente paga __________ annualmente un premio ammontante a Fr. 339.20, mentre alla __________ versa, oltre agli interessi ipotecari, Fr. 2’617.30 all’anno per l’assicurazione III pilastro, complessivamente Fr. 2’956.50 all’anno, ossia Fr.  246.35 al mese. Il supplemento di Fr. 280.-- al mese, riconosciutogli dall’UE di Lugano per spese per assicurazioni, copre pertanto largamente i costi per premi assicurativi fatti valere dal ricorrente per le assicurazioni stipulate per lo stabile in questione. Va altresì ricordato che i versamenti sul III pilastro pur essendo un'uscita costituiscono averi di cui è titolare l'escusso.</w:t>
      </w:r>
    </w:p>
    <w:p>
      <w:r>
        <w:rPr>
          <w:b/>
        </w:rPr>
        <w:t>E. 4</w:t>
      </w:r>
    </w:p>
    <w:p>
      <w:r>
        <w:t>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