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15.1997.6 vom 6. Februar 1997</w:t>
      </w:r>
    </w:p>
    <w:p>
      <w:r>
        <w:t>TI Tribunale d'appello, 1997-02-06, IT</w:t>
      </w:r>
    </w:p>
    <w:p>
      <w:r>
        <w:rPr>
          <w:b/>
        </w:rPr>
        <w:t xml:space="preserve">Quelle: </w:t>
      </w:r>
      <w:r>
        <w:t>https://mcp.opencaselaw.ch/entscheid/ti_gerichte_15.1997.6</w:t>
      </w:r>
    </w:p>
    <w:p>
      <w:r>
        <w:t>FR: TI_GERICHTE 15.1997.6 du 6 février 1997</w:t>
      </w:r>
    </w:p>
    <w:p>
      <w:r>
        <w:t>IT: TI_GERICHTE 15.1997.6 del 6 febbraio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06.02.1997 15.1997.6</w:t>
      </w:r>
    </w:p>
    <w:p>
      <w:r>
        <w:t>Sentenza o decisione senza scheda</w:t>
      </w:r>
    </w:p>
    <w:p>
      <w:r>
        <w:t>Incarto n. 15.97.00006 Lugano 6 febbraio 1997 /MR/FC/fb In nome della Repubblica e Cantone del Ticino La Camera di esecuzione e fallimenti del Tribunale d'appello quale autorità di vigilanza composta dei giudici: Cometta, presidente, Pellegrini e Zali segretario: Baur Martinelli, vicecancelliera visto il reclamo (recte: ricorso) del 13 gennaio 1997 di __________ patr. dall'avv. __________ contro l’operato dell’Ufficio di esecuzione di Lugano chiedente la    sospensione del pignoramento previsto per il 17 gennaio 1997 pomeriggio presso il domicilio dell'escusso; rilevato che con decreto presidenziale 14 gennaio 1997 al ricorso non è stato concesso effetto sospensivo; preso atto dello scritto 28 gennaio 1997 del ricorrente, indirizzato all’UE di Lugano, con cui si comunicava “che causa la mancata concessione dell’effetto sospensivo da parte della Camera di esecuzione e fallimenti il medesimo (ricorso) è divenuto oramai privo di oggetto” e che “la reclamante, pertanto, non ha più alcun interesse al mantenimento dello stesso”; considerato come il ricorso in esame sia così divenuto privo d’oggetto; richiamati gli art. 61 cpv.2 lett.a e 62 cpv.2 OTLEF; pronuncia: 1. Il ricorso 13 gennaio 1997 __________, è stralciato dai ruoli . 2. Non si prelevano spese e non si assegnano indennità. 3. Contro questa decisione è dato ricorso entro dieci giorni alla Camera delle esecuzioni e dei fallimenti del Tribunale Federale, Losanna 14, in conformità dell'art. 19 LEF. 4. Intimazione:    -    __________ Per la Camera di esecuzione e fallimenti del Tribunale d’appello quale autorità di vigilanza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