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15.1997.51 vom 24. Oktober 1997</w:t>
      </w:r>
    </w:p>
    <w:p>
      <w:r>
        <w:t>TI Tribunale d'appello, 1997-10-24, IT</w:t>
      </w:r>
    </w:p>
    <w:p>
      <w:r>
        <w:rPr>
          <w:b/>
        </w:rPr>
        <w:t xml:space="preserve">Quelle: </w:t>
      </w:r>
      <w:r>
        <w:t>https://mcp.opencaselaw.ch/entscheid/ti_gerichte_15.1997.51</w:t>
      </w:r>
    </w:p>
    <w:p>
      <w:r>
        <w:t>FR: TI_GERICHTE 15.1997.51 du 24 octobre 1997</w:t>
      </w:r>
    </w:p>
    <w:p>
      <w:r>
        <w:t>IT: TI_GERICHTE 15.1997.51 del 24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 procedere al sequestro o al pignoramento del reddito, le autorità d’esecuzione sono tenute ad accertare d’ufficio le circostanze determinanti al momento dell’esecuzione del sequestro o del pignoramento, ossia il reddito del debitore e il fabbisogno suo e della sua famiglia (DTF 112 III 21 cons. 2, 108 III 12 cons. 3, 106 III 13 cons. 2, 102 III 15 cons. 4; Amonn in ZBJV 1984 p. 470), ritenuto che delle successive modifiche della situazione potrà essere tenuto conto soltanto mediante riesame del pignoramento.</w:t>
      </w:r>
    </w:p>
    <w:p>
      <w:r>
        <w:rPr>
          <w:b/>
        </w:rPr>
        <w:t>E. 1.1</w:t>
      </w:r>
    </w:p>
    <w:p>
      <w:r>
        <w:t>Di conseguenza l'atto di pignoramento 4 febbraio/11 marzo 1997 è riformato nel senso che dell'indennità di disoccupazione percepita da __________ è pignorato solo l'importo eccedente il minimo di esistenza mensile di Fr. 1'710.--, in luogo di Fr. 640.-- al mese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tramite 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    -   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