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15.1997.232 vom 27. Februar 1998</w:t>
      </w:r>
    </w:p>
    <w:p>
      <w:r>
        <w:t>TI Tribunale d'appello, 1998-02-27, IT</w:t>
      </w:r>
    </w:p>
    <w:p>
      <w:r>
        <w:rPr>
          <w:b/>
        </w:rPr>
        <w:t xml:space="preserve">Quelle: </w:t>
      </w:r>
      <w:r>
        <w:t>https://mcp.opencaselaw.ch/entscheid/ti_gerichte_15.1997.232</w:t>
      </w:r>
    </w:p>
    <w:p>
      <w:r>
        <w:t>FR: TI_GERICHTE 15.1997.232 du 27 février 1998</w:t>
      </w:r>
    </w:p>
    <w:p>
      <w:r>
        <w:t>IT: TI_GERICHTE 15.1997.232 del 27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Ex art. 65 cpv. 1 n. 2 LEF se l’esecuzione è diretta contro una persona giuridica o contro una società, la notificazione si fa al rappresentante delle medesime e cioè per una società anonima a qualunque membro dell’amministrazione o della direzione, come pure a qualunque direttore o procuratore. Contro la notifica di un atto esecutivo avvenuta non nella forma prevista dalla legge oppure ad una persona non legittimata, il debitore può presentare ricorso all’Autorità di vigilanza e pretenderne l’annullamento. Una notificazione è nulla solo quando manca la notificazione al debitore così come l’attestazione dell’avvenuta notifica oppure quando, in seguito ad altra notificazione errata, l’atto non è giunto nelle mani dell’escusso (DTF 110 III 9, Amonn/Gasser, Grundriss des Schuldbetreibungs- und Konkursrechts, Berna 1997, § 12 n. 27-28 p. 93). b) L’iscrizione nel Registro di commercio ha, in relazione alla nomina di membri del consiglio di amministrazione, solo effetto declaratorio. Con l’iscrizione vengono resi noti fatti e rapporti giuridici già esistenti, indipendentemente dall’iscrizione. Essa vale come attestazione e non ha alcun effetto costitutivo. Dal punto di vista materiale non cambia pertanto nulla (Meier-Hayoz/Forstmoser, Grundriss des schweizerischen Gesellschaftsrechts, Berna 1993, § 5 n. 48 p. 111; Forstmoser/Meier-Hayoz/Nobel, Schweizerisches Aktienrecht, Berna 1996, § 16 n. 50 p. 160). c) Il PE n. __________ recante l’indicazione “__________ ” è stato emesso il 6 novembre 1997 e notificato il 7 novembre 1997 a __________.  Dall’estratto del Registro di commercio prodotto dalla ricorrente risulta tuttavia che il 27 ottobre 1997 quale amministratore unico della __________ è stato iscritto __________. L’indicazione “__________ ” che appare sul PE in oggetto, e la conseguente notificazione, è pertanto errata, atteso che amministratore unico della società il giorno dell’emissione del PE e della sua notifica era a tutti gli effetti __________. La notificazione del PE n. __________ andrebbe quindi annullata. Ritenuto tuttavia che il 13 dicembre 1997 l’UEF di Bellinzona ha già proceduto ad emettere un nuovo PE n. __________ a carico della __________, indicando quale amministratore unico __________, si impone l’annullamento di tutta la procedura esecutiva n. __________. L’UEF di Bellinzona procederà pertanto all’apposizione della lettera E a valere quale estinzione dell’esecuzione, con la conseguenza che l’organo di esecuzione non può più dare notizia a terzi della procedura estinta (art. 8a cpv. 3 LEF), salvo l’eccezione prevista all’art. 8a cpv. 4 secondo periodo LEF.</w:t>
      </w:r>
    </w:p>
    <w:p>
      <w:r>
        <w:rPr>
          <w:b/>
        </w:rPr>
        <w:t>E. 1.1</w:t>
      </w:r>
    </w:p>
    <w:p>
      <w:r>
        <w:t>Di conseguenza è annullata l’esecuzione n. __________ del 6 novembre 1997 dell’UEF di Bellinzona che procederà all’apposizione della lettera E nel senso dei considerandi.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             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