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15.1997.218 vom 16. Juni 1998</w:t>
      </w:r>
    </w:p>
    <w:p>
      <w:r>
        <w:t>TI Tribunale d'appello, 1998-06-16, IT</w:t>
      </w:r>
    </w:p>
    <w:p>
      <w:r>
        <w:rPr>
          <w:b/>
        </w:rPr>
        <w:t xml:space="preserve">Quelle: </w:t>
      </w:r>
      <w:r>
        <w:t>https://mcp.opencaselaw.ch/entscheid/ti_gerichte_15.1997.218</w:t>
      </w:r>
    </w:p>
    <w:p>
      <w:r>
        <w:t>FR: TI_GERICHTE 15.1997.218 du 16 juin 1998</w:t>
      </w:r>
    </w:p>
    <w:p>
      <w:r>
        <w:t>IT: TI_GERICHTE 15.1997.218 del 16 giugno 1998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4).</w:t>
      </w:r>
    </w:p>
    <w:p>
      <w:r>
        <w:t>Di conseguenza vista la richiesta del ricorrente di determinare linefficacia delle opposizioni interposte da __________ ai precetti esecutivi fatti spiccare nei confronti di __________, è data la competenza di questa Camera.</w:t>
      </w:r>
    </w:p>
    <w:p>
      <w:r>
        <w:t>2.Il ricorso allAutorità di vigilanza deve essere presentato entro dieci giorni da quello in cui il ricorrente ebbe notizia del provvedimento (art. 17 cpv. 2 LEF).</w:t>
      </w:r>
    </w:p>
    <w:p>
      <w:r>
        <w:t>Nel caso di specie il ricorrente sostiene di aver ricevuto notizia del provvedimento impugnato solo il 18 novembre 1997. Egli produce la busta dintimazione a mezzo posta A recante il timbro del 13 novembre 1997. Il termine di ricorso sarebbe giunto a scadenza il 28 novembre 1998. Orbene, avuto riguardo al fatto che non vi è certezza che un invio per  posta A giunga a destinazione il giorno seguente, e considerato che il lasso di tempo intercorso tra la notifica delle opposizioni e lasserita ricezione delle stesse, può essere ritenuto nei limiti della ragionevolezza in mancanza di elementi di segno contrario, il ricorso deve essere considerato tempestivo.</w:t>
      </w:r>
    </w:p>
    <w:p>
      <w:r>
        <w:t>3.La legittimazione a interporre opposizione a un precetto esecutivo è riconosciuta anche al gestore senza mandato ex art. 419 e ss. CO a condizione che il proprio operato venga in seguito ratificato dal debitore (cfr. DTF 112 III 85 cons. 2; 107 III 49; 97 III 113; Amonn/Gasser, op. cit., § 18 n. 5, p. 110; Jaeger/Walder/Kull/Kottmann, op. cit. ad art. 74 LEF n. 3).</w:t>
      </w:r>
    </w:p>
    <w:p>
      <w:r>
        <w:t>Nel caso in esame la madre della debitrice ha, nellinteresse della figlia, interposto opposizione ai precetti esecutivi notificati in via edittale. Lagire di __________ è stato in seguito ratificato dallescussa come si evince chiaramente dalle osservazioni al presente gravame, nonché dagli scritti di cui ai doc. E e F.</w:t>
      </w:r>
    </w:p>
    <w:p>
      <w:r>
        <w:t>4.Ne consegue la reiezione del ricorso.</w:t>
      </w:r>
    </w:p>
    <w:p>
      <w:r>
        <w:t>Non si prelevano spese (art. 61 cpv. 2 lett. a OTLEF) e non si assegnano indennità (art. 62 cpv. 2 OTLEF), perché così è disciplinato per normativa di diritto federale.</w:t>
      </w:r>
    </w:p>
    <w:p>
      <w:r>
        <w:t>Richiamati gli art. 17 e 74 LEF</w:t>
      </w:r>
    </w:p>
    <w:p>
      <w:r>
        <w:t>pronuncia:            1.Il ricorso 27 novembre 1997 di __________, è respinto</w:t>
      </w:r>
    </w:p>
    <w:p>
      <w:r>
        <w:t>2.Non si prelevano spese, né si assegnano indennità.</w:t>
      </w:r>
    </w:p>
    <w:p>
      <w:r>
        <w:t>3.Contro questa decisione è dato ricorso entro dieci giorni alla Camera delle esecuzioni e dei fallimenti del Tribunale federale a Losanna, per il tramite della scrivente Camera di esecuzione e fallimenti del Tribunale dappello, in conformità dellart. 19 LEF.</w:t>
      </w:r>
    </w:p>
    <w:p>
      <w:r>
        <w:t>4.Intimazione a:</w:t>
      </w:r>
    </w:p>
    <w:p>
      <w:r>
        <w:t>- 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