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15.1997.208 vom 17. April 1998</w:t>
      </w:r>
    </w:p>
    <w:p>
      <w:r>
        <w:t>TI Tribunale d'appello, 1998-04-17, IT</w:t>
      </w:r>
    </w:p>
    <w:p>
      <w:r>
        <w:rPr>
          <w:b/>
        </w:rPr>
        <w:t xml:space="preserve">Quelle: </w:t>
      </w:r>
      <w:r>
        <w:t>https://mcp.opencaselaw.ch/entscheid/ti_gerichte_15.1997.208</w:t>
      </w:r>
    </w:p>
    <w:p>
      <w:r>
        <w:t>FR: TI_GERICHTE 15.1997.208 du 17 avril 1998</w:t>
      </w:r>
    </w:p>
    <w:p>
      <w:r>
        <w:t>IT: TI_GERICHTE 15.1997.208 del 17 aprile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 procedere al sequestro o al pignoramento del salario, le autorità di esecuzione sono tenute ad accertare d’ufficio le circostanze determinanti al momento dell’esecuzione del sequestro o del pignoramento, ossia il reddito del debitore e il fabbisogno suo o della sua famiglia (DTF 112 III 21 cons. 2a; 108 III 12 cons. 3; 106 III 13 cons. 2; 102 III 15 cons. 4; Amonn in ZBJV 1984 p. 470), ritenuto che delle successive modifiche della situazione potrà essere tenuto conto soltanto mediante riesame del pignoramento (DTF 108 III 13).</w:t>
      </w:r>
    </w:p>
    <w:p>
      <w:r>
        <w:rPr>
          <w:b/>
        </w:rPr>
        <w:t>E. 2</w:t>
      </w:r>
    </w:p>
    <w:p>
      <w:r>
        <w:t>L’Ufficio di esecuzione deve determinare il minimo di esistenza legale in ogni caso secondo il suo apprezzamento. Gli è tuttavia di ausilio la Tabella dei minimi di esistenza agli effetti del diritto esecutivo (in vigore dal 1. gennaio 1994, in seguito: Tabella). L’Ufficio deve determinare l’effettivo, oggettivo minimo di esistenza del debitore e della sua famiglia e non quello abituale o confacente al suo ceto. Secondo il punto 1.1. della citata Tabella, l’importo base mensile, che nel caso di persona singola ammonta a Fr. 1’025.--, è già comprensivo delle spese di sostentamento, abbigliamento, biancheria, igiene, cultura, salute e oneri domestivi (quali le spese di elettricità per illuminazione e le spese di elettricità e gas per la cottura). Quali supplementi all’importo base mensile di Fr. 1’025.--, l’UE ha inoltre correttamente riconosciuto al ricorrente le spese di locazione, così come quelle per la cassa malati, la trasferta e per i pasti consumati fuori dall’economia domestica (Amonn/Gasser, Grundriss des Schuldbetreibungs- und Konkursrechts, Berna 1997, § 23 n. 61-63). Nel suo ricorso il debitore, nonostante rimproveri all’UE di avergli pignorato un importo eccessivo, non ha fatto valere e ancor meno prodotto alcun giustificativo relativo ad altre spese. Pertanto va confermato il calcolo del minimo di esistenza effettuato dall’UE di Lugano e di conseguenza l’eccedenza mensile pignorabile che ne risulta. Il ricorso di __________ va quindi respinto.</w:t>
      </w:r>
    </w:p>
    <w:p>
      <w:r>
        <w:rPr>
          <w:b/>
        </w:rPr>
        <w:t>E. 3</w:t>
      </w:r>
    </w:p>
    <w:p>
      <w:r>
        <w:t>Contro questa decisione è dato ricorso entro 10 giorni alla Camera delle esecuzioni e dei fallimenti del Tribunale federale, Losanna, per il tramite della scrivente Camera di esecuzione e fallimenti del Tribunale di appello, in conformità dell’art. 19 LEF.</w:t>
      </w:r>
    </w:p>
    <w:p>
      <w:r>
        <w:rPr>
          <w:b/>
        </w:rPr>
        <w:t>E. 4</w:t>
      </w:r>
    </w:p>
    <w:p>
      <w:r>
        <w:t>Intimazione:    -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