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15.1997.201 vom 17. April 1998</w:t>
      </w:r>
    </w:p>
    <w:p>
      <w:r>
        <w:t>TI Tribunale d'appello, 1998-04-17, IT</w:t>
      </w:r>
    </w:p>
    <w:p>
      <w:r>
        <w:rPr>
          <w:b/>
        </w:rPr>
        <w:t xml:space="preserve">Quelle: </w:t>
      </w:r>
      <w:r>
        <w:t>https://mcp.opencaselaw.ch/entscheid/ti_gerichte_15.1997.201</w:t>
      </w:r>
    </w:p>
    <w:p>
      <w:r>
        <w:t>FR: TI_GERICHTE 15.1997.201 du 17 avril 1998</w:t>
      </w:r>
    </w:p>
    <w:p>
      <w:r>
        <w:t>IT: TI_GERICHTE 15.1997.201 del 17 aprile 1998</w:t>
      </w:r>
    </w:p>
    <w:p>
      <w:pPr>
        <w:pStyle w:val="Heading2"/>
      </w:pPr>
      <w:r>
        <w:t>Erwägungen</w:t>
      </w:r>
    </w:p>
    <w:p>
      <w:r>
        <w:rPr>
          <w:b/>
        </w:rPr>
        <w:t>E. 2</w:t>
      </w:r>
    </w:p>
    <w:p>
      <w:r>
        <w:t>Nel caso di specie __________ si aggrava contro la decisione 7 novembre 1997 dell’UEF di Vallemaggia mediante atto di ricorso 10 novembre 1997. L’unica motivazione contenuta nel gravame è il riferimento all’art. 17 LEF, senza però alcuna indicazione sulle norme violate, ne tantomeno la natura di tale violazione. Malgrado in data 20 novembre 1997 l’UEF di Vallemaggia abbia assegnato al ricorrente giusta l’art. 7 cpv. 5 LPR un termine perentorio di dieci giorni per motivare il ricorso e produrre 5 copie dell’atto, l’escusso si è limitato ad inviare le copie mancanti del ricorso. Quindi il ricorso 10 novembre 1997 non adempie i requisiti sanciti dall’art. 7 cpv. 3 lett. b LPR difettando di motivazione relativa alle presunte violazioni di norme di diritto federale e/o cantonale compiute dall’UEF di Vallemaggia, nonché il carattere di tali violazioni.</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