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15.1997.147 vom 22. Mai 1998</w:t>
      </w:r>
    </w:p>
    <w:p>
      <w:r>
        <w:t>TI Tribunale d'appello, 1998-05-22, IT</w:t>
      </w:r>
    </w:p>
    <w:p>
      <w:r>
        <w:rPr>
          <w:b/>
        </w:rPr>
        <w:t xml:space="preserve">Quelle: </w:t>
      </w:r>
      <w:r>
        <w:t>https://mcp.opencaselaw.ch/entscheid/ti_gerichte_15.1997.147</w:t>
      </w:r>
    </w:p>
    <w:p>
      <w:r>
        <w:t>FR: TI_GERICHTE 15.1997.147 du 22 mai 1998</w:t>
      </w:r>
    </w:p>
    <w:p>
      <w:r>
        <w:t>IT: TI_GERICHTE 15.1997.147 del 22 maggio 1998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Secondo il punto 2.6. delle Tabelle dei minimi d’esistenza agli effetti del diritto esecutivo (nel seguito: Tabelle) emanate da questa Autorità e valide dal 1° gennaio 1994 le spese supplementari per l’istruzione dei figli sono da considerare fino alla maggiore età. Per costante giurisprudenza e dottrina sull’art. 93 LEF le spese sopportate dal debitore per gli studi superiori di un figlio maggiorenne non possono venire considerate nel calcolo del minimo d’esistenza del debitore e della sua famiglia (cfr. DTF 98 III 34; Amonn/Gasser, Grundriss des Schuldbetreibungs-und Konkursrechts, Berna 1997, § 23 n. 64, p.178). Con il ricorrente vivono due figli minorenni, nati  nel 1982 e nel 1995, e un figlio maggiorenne. Secondo le Tabelle il supplemento per i figli minorenni ammonta complessivamente a fr. 620.--. Pertanto la riduzione per i figli effettuata dall’UEF di Bellinzona per un importo di fr. 1’120.-- è già da ritenersi più che generosa.</w:t>
      </w:r>
    </w:p>
    <w:p>
      <w:r>
        <w:rPr>
          <w:b/>
        </w:rPr>
        <w:t>E. 3</w:t>
      </w:r>
    </w:p>
    <w:p>
      <w:r>
        <w:t>Il ricorrente chiede che oltre ai premi della cassa malati venga tenuto conto delle franchigie e delle partecipazioni alle spese: non dimostra però che queste spese siano state sostenute. Orbene dal certificato della cassa malati __________ prodotto dal ricorrente si evince che l’importo di fr. 620.-- riconosciuto dall’UEF è limitato alle prestazioni obbligatorie secondo la LAMal. Considerato che quale assicurazione malattia può essere riconosciuta nel caso di specie e in assenza di qualsivoglia documentazione unicamente l’assicurazione obbligatoria, nel calcolo del minimo di esistenza del debitore non vi è spazio per ulteriori deduzioni oltre all’importo già riconosciuto dall’UEF di Bellinzona.</w:t>
      </w:r>
    </w:p>
    <w:p>
      <w:r>
        <w:rPr>
          <w:b/>
        </w:rPr>
        <w:t>E. 4</w:t>
      </w:r>
    </w:p>
    <w:p>
      <w:r>
        <w:t>Le asserite mutate condizioni economiche del debitore, nonché le richieste della creditrice di considerare eventuali pretese di __________ derivanti dallo scioglimento del rapporto di lavoro con la ditta __________, potranno, se del caso, trovare opportuna sede nell’ambito della revisione del pignoramento.</w:t>
      </w:r>
    </w:p>
    <w:p>
      <w:r>
        <w:rPr>
          <w:b/>
        </w:rPr>
        <w:t>E. 5</w:t>
      </w:r>
    </w:p>
    <w:p>
      <w:r>
        <w:t>Ne consegue la reiezione del ricorso. Non si prelevano spese (art. 61 cpv. 2 lett. a OTLEF) e non si assegnano indennità (art. 62 cpv. 2 OTLEF), perché così è disciplinato per normativa di diritto federale. Richiamati gli art. 17 e 93 LEF pronuncia:            1. Il ricorso 1° settembre 1997 __________ è respinto.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 -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