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15.1997.130 vom 17. Oktober 1997</w:t>
      </w:r>
    </w:p>
    <w:p>
      <w:r>
        <w:t>TI Tribunale d'appello, 1997-10-17, IT</w:t>
      </w:r>
    </w:p>
    <w:p>
      <w:r>
        <w:rPr>
          <w:b/>
        </w:rPr>
        <w:t xml:space="preserve">Quelle: </w:t>
      </w:r>
      <w:r>
        <w:t>https://mcp.opencaselaw.ch/entscheid/ti_gerichte_15.1997.130</w:t>
      </w:r>
    </w:p>
    <w:p>
      <w:r>
        <w:t>FR: TI_GERICHTE 15.1997.130 du 17 octobre 1997</w:t>
      </w:r>
    </w:p>
    <w:p>
      <w:r>
        <w:t>IT: TI_GERICHTE 15.1997.130 del 17 ottobre 1997</w:t>
      </w:r>
    </w:p>
    <w:p>
      <w:pPr>
        <w:pStyle w:val="Heading2"/>
      </w:pPr>
      <w:r>
        <w:t>Volltext</w:t>
      </w:r>
    </w:p>
    <w:p>
      <w:r>
        <w:t>Incarto n.15.97.00130</w:t>
      </w:r>
    </w:p>
    <w:p>
      <w:r>
        <w:t>Lugano</w:t>
      </w:r>
    </w:p>
    <w:p>
      <w:r>
        <w:t>17 ottobre 1997/B/fc/fb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presidentePellegrini e Zali</w:t>
      </w:r>
    </w:p>
    <w:p>
      <w:r>
        <w:t>segretario:</w:t>
      </w:r>
    </w:p>
    <w:p>
      <w:r>
        <w:t>Baur Martinelli, vicecancelliera</w:t>
      </w:r>
    </w:p>
    <w:p>
      <w:r>
        <w:t>statuendo sul ricorso 12 agosto 1997 di</w:t>
      </w:r>
    </w:p>
    <w:p>
      <w:r>
        <w:t>__________</w:t>
      </w:r>
    </w:p>
    <w:p>
      <w:r>
        <w:t>patr. dall'avv. __________</w:t>
      </w:r>
    </w:p>
    <w:p>
      <w:r>
        <w:t>contro</w:t>
      </w:r>
    </w:p>
    <w:p>
      <w:r>
        <w:t>loperato dell Ufficio di esecuzione di Lugano e meglio contro la notifica del PE nellesecuzione n. __________ promossa contro il ricorrente da</w:t>
      </w:r>
    </w:p>
    <w:p>
      <w:r>
        <w:t>__________</w:t>
      </w:r>
    </w:p>
    <w:p>
      <w:r>
        <w:t>patr. dall'avv. __________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