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15.1997.110 vom 17. April 1998</w:t>
      </w:r>
    </w:p>
    <w:p>
      <w:r>
        <w:t>TI Tribunale d'appello, 1998-04-17, IT</w:t>
      </w:r>
    </w:p>
    <w:p>
      <w:r>
        <w:rPr>
          <w:b/>
        </w:rPr>
        <w:t xml:space="preserve">Quelle: </w:t>
      </w:r>
      <w:r>
        <w:t>https://mcp.opencaselaw.ch/entscheid/ti_gerichte_15.1997.110</w:t>
      </w:r>
    </w:p>
    <w:p>
      <w:r>
        <w:t>FR: TI_GERICHTE 15.1997.110 du 17 avril 1998</w:t>
      </w:r>
    </w:p>
    <w:p>
      <w:r>
        <w:t>IT: TI_GERICHTE 15.1997.110 del 17 aprile 1998</w:t>
      </w:r>
    </w:p>
    <w:p>
      <w:pPr>
        <w:pStyle w:val="Heading2"/>
      </w:pPr>
      <w:r>
        <w:t>Regeste</w:t>
      </w:r>
    </w:p>
    <w:p>
      <w:r>
        <w:t>Sentenza o decisione senza scheda</w:t>
      </w:r>
    </w:p>
    <w:p>
      <w:pPr>
        <w:pStyle w:val="Heading2"/>
      </w:pPr>
      <w:r>
        <w:t>Erwägungen</w:t>
      </w:r>
    </w:p>
    <w:p>
      <w:r>
        <w:rPr>
          <w:b/>
        </w:rPr>
        <w:t>E. 2</w:t>
      </w:r>
    </w:p>
    <w:p>
      <w:r>
        <w:t>Il ricorso all’Autorità di vigilanza è ammesso contro ogni provvedimento di un organo di esecuzione e fallimento (cfr. Art. 17 LEF; art.1 cpv. 1 LPR). Giusta l’art. 1 LPR con organi di esecuzione e fallimento si intendono segnatamente: - l’ufficio di esecuzione e l’ufficio dei fallimenti; - l’adunanza dei creditori nel fallimento e nel concordato; - l’amministrazione speciale del fallimento; - il commissario del concordato; - i liquidatori nel concordato con abbandono dell’attivo. Di regola i provvedimenti eseguiti per rogatoria soggiacciono all’Autorità di vigilanza dell’ufficio rogante. Un’eccezione è prevista nel caso in cui l’ufficio rogato agisca autonomamente, in tal caso è data la competenza dell’Autorità di vigilanza dell’ufficio che deve eseguire il provvedimento (Jäger/Walder/Kull/Kottmann, SchKG, Zurigo 1997, n. 31 ad art. 17). Le condizioni d’incanto sono stabilite autonomamente dall’ufficio rogato, atteso che eventuali suggerimenti dell’autorità rogante restano quale atto interno senza rilievo sul provvedimento finale (cfr. Art. 4 cpv. 2 LEF; Rep. 1991, p. 512).</w:t>
      </w:r>
    </w:p>
    <w:p>
      <w:r>
        <w:rPr>
          <w:b/>
        </w:rPr>
        <w:t>E. 3</w:t>
      </w:r>
    </w:p>
    <w:p>
      <w:r>
        <w:t>Ne consegue l’irrilevanza dell’ordine dell’Autorità rogante d’inserire nelle condizioni d’incanto le clausole n.__________ e n. __________ per stabilire la competenza ratione loci dell’Autorità di vigilanza: trattandosi infatti di provvedimento autonomo dell’UF di Lugano è data l’esclusiva competenza dell’Autorità di vigilanza ticinese.</w:t>
      </w:r>
    </w:p>
    <w:p>
      <w:r>
        <w:rPr>
          <w:b/>
        </w:rPr>
        <w:t>E. 4</w:t>
      </w:r>
    </w:p>
    <w:p>
      <w:r>
        <w:t>Secondo la giurisprudenza e la dottrina , la legittimazione a presentare ricorso è un presupposto processuale che deve essere riconosciuto ad ogni parte lesa nei suoi interessi giuridicamente protetti da una misura dell’organo di esecuzione, costitutiva di pregiudizio di fatto attuale (cfr. DTF 112 III 3; Flavio Cometta, Brevi cenni sulla Legge sulla procedura di reclamo in materia di esecuzione e fallimento in RDAT I - 1996, p. 285/286; Amonn/Gasser, Grundriss des Schuldbetreibungs-und Konkursrechts, Berna 1997, § 6 p. 40). Vi è carenza di legittimazione quando il ricorrente è persona completamente estranea all’esecuzione, quando non pretende di rappresentare l’escusso e nemmeno vanta diritto alcuno sui beni oggetto della realizzazione in corso come pure quando non è toccato nei suoi interessi specifici (cfr. Flavio Cometta, op. cit., p.286).</w:t>
      </w:r>
    </w:p>
    <w:p>
      <w:r>
        <w:rPr>
          <w:b/>
        </w:rPr>
        <w:t>E. 5</w:t>
      </w:r>
    </w:p>
    <w:p>
      <w:r>
        <w:t>Nel caso di specie oggetto della realizzazione risultano essere due quote di comproprietà, rispettivamente del 3% e del 15,5% delle PPP costituite sui fondi part. __________ e part. __________ di __________. Giusta l’art. 682 cpv. 1 CC i comproprietari hanno un diritto di prelazione verso qualunque terzo non comproprietario che acquisti una parte del fondo. Nel regolamento d’uso e d’amministrazione della comproprietà, annotato a Registro Fondiario il 31 marzo 1994, i comproprietari hanno esplicitamente escluso il diritto di prelazione legale sancito dall’art. 682 CC. Orbene i ricorrenti comproprietari, segnatamente __________, __________ e __________, non essendo creditori nella procedura concordataria, potrebbero dedurre la propria legittimazione a ricorrere contro le condizioni d’incanto dalla loro qualifica di comproprietari del fondo venduto. Avendo però rinunciato espressamente al diritto di prelazione legale, essi soggiacciono al medesimo statuto giuridico previsto nella PPP all’art. 712c CC. Di conseguenza i ricorrenti comproprietari non hanno più alcun interesse specifico per impugnare le condizioni d’incanto, di modo che non può essere loro riconosciuta la legittimazione a ricorrere contro le condizioni d’incanto. La __________ è l’amministratrice della comunione dei comproprietari __________, essa non è minimamente toccata dalle procedure concordatarie relative alla __________ e alla __________, e non può vantare alcun diritto sui beni oggetto della realizzazione. La legittimazione a presentare ricorso deve quindi essere negata anche alla __________. Per stessa ammissione della ricorrente l’unico interesse vantato dalla __________ nella presente procedura è costituito dal fatto che le azioni oggetto del diritto di compera previsto alla condizione d’asta n. __________ siano cedute correttamente. Orbene il provvedimento dell’UF non lede in alcun modo gli interessi della ricorrente, atteso che eventuali problemi legati all’acquisizione delle quote del capitale azionario della __________ potranno essere fatti valere, se del caso, nelle opportune sedi statutarie. Quindi anche quest’ultima difetta della legittimazione a presentare ricorso</w:t>
      </w:r>
    </w:p>
    <w:p>
      <w:r>
        <w:rPr>
          <w:b/>
        </w:rPr>
        <w:t>E. 6</w:t>
      </w:r>
    </w:p>
    <w:p>
      <w:r>
        <w:t>Ne consegue l’irricevibilità dei ricorsi. Non si prelevano spese (art. 61 cpv. 2 lett. a OTLEF) e non si assegnano indennità (art. 62 cpv. 2 OTLEF), perché così è disciplinato per normativa di diritto federale. Richiamati gli art. 17 LEF, 682 CC pronuncia:              1. Le procedure di cui agli inc. 15.97.110 e inc 15.97.111 sono dichiarate congiunte. 2. I ricorsi 17 luglio 1997 __________, __________ __________, __________ __________, __________, __________, __________, __________ __________, sono irricevibili.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