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15.1997.107 vom 29. April 1998</w:t>
      </w:r>
    </w:p>
    <w:p>
      <w:r>
        <w:t>TI Tribunale d'appello, 1998-04-29, IT</w:t>
      </w:r>
    </w:p>
    <w:p>
      <w:r>
        <w:rPr>
          <w:b/>
        </w:rPr>
        <w:t xml:space="preserve">Quelle: </w:t>
      </w:r>
      <w:r>
        <w:t>https://mcp.opencaselaw.ch/entscheid/ti_gerichte_15.1997.107</w:t>
      </w:r>
    </w:p>
    <w:p>
      <w:r>
        <w:t>FR: TI_GERICHTE 15.1997.107 du 29 avril 1998</w:t>
      </w:r>
    </w:p>
    <w:p>
      <w:r>
        <w:t>IT: TI_GERICHTE 15.1997.107 del 29 aprile 1998</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d’esecuzione sono tenute ad accertare d’ufficio le circostanze determinanti al momento dell’esecuzione del sequestro o del pignoramento, ossia il reddito del debitore e il fabbisogno suo e della sua famiglia (DTF  119 III 11,12 III 21 cons. 2, 108 III 12 cons. 3, 106 III 13 cons. 2, 102 III 15 cons. 4; Amonn in ZBJV 1984 p. 470), ritenuto che delle successive modifiche della situazione potrà essere tenuto conto soltanto mediante riesame del pignoramento.</w:t>
      </w:r>
    </w:p>
    <w:p>
      <w:r>
        <w:rPr>
          <w:b/>
        </w:rPr>
        <w:t>E. 1.1</w:t>
      </w:r>
    </w:p>
    <w:p>
      <w:r>
        <w:t>Di conseguenza il provvedimento 19 giugno 1997 con cui l’UEF di Bellinzona ha pignorato a __________ dal suo introito l’importo di Fr.  140.-- al mese è annullato.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r>
        <w:rPr>
          <w:b/>
        </w:rPr>
        <w:t>E. 2</w:t>
      </w:r>
    </w:p>
    <w:p>
      <w:r>
        <w:t>a) Nell’ambito di una previdenza responsabile va tenuto conto, in caso di incapacità di guadagno duratura o temporanea, della necessità di assicurare a sé e alla propria famiglia un introito sostitutivo. I contributi pagati alle assicurazioni sociali garantiscono tale introito, mentre la persona indipendente ha la possibilità di assicurarsi presso una compagnia d’assicurazione privata (Hausheer/Spycher/Kocher/Brunner, Handbuch des Unterhaltsrechts, Berna 1997, Kapitel 3, n. 03.60 e 03.64). b) Ex art. 93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in capitale che non sono impignorabili giusta l’art. 92, possono essere pignorati in quanto, a giudizio dell’ufficiale, non siano assolutamente necessari al sostentamento del debitore e della sua famiglia. Anche l’introito dell’indipendente soggiace all’art. 93 LEF. Quale introito va intesa qualsiasi retribuzione ottenuta per la prestazione di lavoro, tra l’altro anche l’introito sostitutivo percepito dal debitore in caso di mancato guadagno, come nel caso d’indennità giornaliera versata da una cassa malati (DTF 119 III 16; Amonn/Gasser, Grundriss des Schuldbetreibungs- und Konkursrechts, Berna 1997, § 23 n. 43 e 45-47). c) Con il suo ricorso __________ ha prodotto un attestato __________, valido dal 1. gennaio 1997, dal quale risulta che egli, oltre all‘assicurazione obbligatoria per cura medica, ha stipulato anche un’assicurazione d’indennità giornaliera, il cui premio mensile ammonta a Fr. 533.50. Secondo l’attestato il debitore dovrebbe ricevere: per malattia Fr. 40.-- al giorno, senza termine d’attesa (GE 40), per malattia Fr. 110.-- al giorno, senza termine d’attesa (GE 45) per infortunio Fr. 150.-- al giorno, senza termine d’attesa (GE 30). Dal verbale di pignoramento compilato dall’UEF di Bellinzona si evince che il debitore ha dichiarato di svolgere l’attività di muratore in proprio e che il suo guadagno ammonta a Fr. 3’000.-- mensili. Dalle precedenti considerazioni emerge che nell’ambito di una previdenza responsabile va tenuto conto dell’eventualità di procurarsi, in caso di malattia, un introito sostitutivo e che nel caso di persona che svolge attività indipendente questo reddito può venire garantito dalla stipulazione di un’assicurazione d’indennità giornaliera per perdita di guadagno. Va rilevato che il reddito sostitutivo sarebbe d’altro canto relativamente pignorabile ex art. 93 LEF, per cui, nel caso di una procedura di pignoramento potrebbe andare a vantaggio dei creditori. Nel caso di specie va rilevato che il debitore il reddito sostitutivo di __________ sarebbe ammontato nel 1997 sia in caso di malattia (Fr. 40.-- + Fr. 110.--) che  in caso di infortunio a Fr. 150.-- al giorno e pertanto a  Fr. 4’500.-- al mese, per cui il ricorrente sarebbe giunto a procurarsi un introito superiore a quello dichiarato. Pertanto per giungere a sostituire il guadagno dichiarato di Fr. 3’000.--al mese, sarebbe stato sufficiente che egli percepisse un’indennità di Fr. 100.-- al giorno. Secondo le informazioni ricevute dalla __________ il premio per un’assicurazione d’indennità giornaliera di Fr. 100.-- sarebbe ammontato  nel 1997 a Fr. 312.10 per malattia e a Fr. 39.50 per infortunio al mese, complessivamente a Fr. 351.60.--. Al ricorrente può quindi essere riconosciuto unicamente un supplemento di Fr. 351.60 al mese per il pagamento del premio per l’assicurazione d’indennità giornaliera. 3.   __________ ha poi preteso il riconoscimento delle spese di trasferta, senza tuttavia specificarne l’ammontare né produrre documentazione alcuna, per cui in mancanza di qualsivoglia giustificativo la sua richiesta va respinta.</w:t>
      </w:r>
    </w:p>
    <w:p>
      <w:r>
        <w:rPr>
          <w:b/>
        </w:rPr>
        <w:t>E. 4</w:t>
      </w:r>
    </w:p>
    <w:p>
      <w:r>
        <w:t>Secondo il punto 2.4.3. della Tabella dei minimi di esistenza agli effetti del diritto esecutivo in vigore dal 1. gennaio 1994, per pasti consumati fuori dall’economia domestica viene riconosciuto un importo da Fr. 6.-- a Fr. 9.-- per ogni pasto principale. Al ricorrente va pertanto riconosciuto l’importo di Fr. 9.--  per una media di 20 pasti al mese, ossia Fr. 180.--.</w:t>
      </w:r>
    </w:p>
    <w:p>
      <w:r>
        <w:rPr>
          <w:b/>
        </w:rPr>
        <w:t>E. 5</w:t>
      </w:r>
    </w:p>
    <w:p>
      <w:r>
        <w:t>Il Comune di __________ ha contestato con le sue osservazioni l’importo di Fr. 1’000.-- riconosciuto al ricorrente per le spese di locazione, ritenendolo troppo elevato per persona singola. Per il divieto della reformatio in peius il giudizio dell’Autorità di vigilanza non può andare oltre le conclusioni delle parti (art. 22  LPR). Di conseguenza la contestazione in merito al canone di locazione avrebbe dovuto essere sollevata dal Comune di __________ con un ricorso. L'escusso è comunque reso attento che in occasione di ulteriori esecuzioni non si potrà tener conto di un canone di locazione sproporzionato rispetto alle sue condizioni reddituali: detto altrimenti, per locazione potrà essere riconosciuto un canone massimo di Fr. 450.-- al mese riferito ad una persona.</w:t>
      </w:r>
    </w:p>
    <w:p>
      <w:r>
        <w:rPr>
          <w:b/>
        </w:rPr>
        <w:t>E. 6</w:t>
      </w:r>
    </w:p>
    <w:p>
      <w:r>
        <w:t>Il minimo di esistenza di __________ va quindi calcolato come segue: Reddito                                                                        Fr. 3’000.-- Minimo di esistenza - minimo base                                           Fr. 1’025.-- - pasti fuori domicilio                               Fr.    180.-- - pigione + riscaldamento                       Fr. 1’000.-- - affitto garage per attrezzi di lavoro      Fr.    120.-- - cassa malati                                           Fr.    239.-- - AVS/AI/IPG                                             Fr.    353.-- - assicurazione indennità giornaliera     Fr.    351.60 totale                                                          Fr. 3’268.60 Nessuna eccedenza mensile pignorabile.</w:t>
      </w:r>
    </w:p>
    <w:p>
      <w:r>
        <w:rPr>
          <w:b/>
        </w:rPr>
        <w:t>E. 7</w:t>
      </w:r>
    </w:p>
    <w:p>
      <w:r>
        <w:t>Il ricorso 30 giugno 1997 di __________ va quindi accolto. Non si prelevano spese (art. 61 cpv. 2 lett. a OTLEF) e non si assegnano indennità (art. 62 cpv. 2 OTLEF). Per i quali motivi, richiamati gli art. 17 e 93 LEF pronuncia 1. Il ricorso 30 giugno 1997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