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15.1997.102 vom 18. August 1997</w:t>
      </w:r>
    </w:p>
    <w:p>
      <w:r>
        <w:t>TI Tribunale d'appello, 1997-08-18, IT</w:t>
      </w:r>
    </w:p>
    <w:p>
      <w:r>
        <w:rPr>
          <w:b/>
        </w:rPr>
        <w:t xml:space="preserve">Quelle: </w:t>
      </w:r>
      <w:r>
        <w:t>https://mcp.opencaselaw.ch/entscheid/ti_gerichte_15.1997.102</w:t>
      </w:r>
    </w:p>
    <w:p>
      <w:r>
        <w:t>FR: TI_GERICHTE 15.1997.102 du 18 août 1997</w:t>
      </w:r>
    </w:p>
    <w:p>
      <w:r>
        <w:t>IT: TI_GERICHTE 15.1997.102 del 18 agosto 1997</w:t>
      </w:r>
    </w:p>
    <w:p>
      <w:pPr>
        <w:pStyle w:val="Heading2"/>
      </w:pPr>
      <w:r>
        <w:t>Regeste</w:t>
      </w:r>
    </w:p>
    <w:p>
      <w:r>
        <w:t>Sentenza o decisione senza scheda</w:t>
      </w:r>
    </w:p>
    <w:p>
      <w:pPr>
        <w:pStyle w:val="Heading2"/>
      </w:pPr>
      <w:r>
        <w:t>Erwägungen</w:t>
      </w:r>
    </w:p>
    <w:p>
      <w:r>
        <w:rPr>
          <w:b/>
        </w:rPr>
        <w:t>E. 1</w:t>
      </w:r>
    </w:p>
    <w:p>
      <w:r>
        <w:t>a) Ex art. 197 cpv. 1 LEF tutti i beni pignorabili spettanti al debitore al momento della dichiarazione di fallimento formano, dovunque si trovino, un’unica massa destinata al comune soddisfacimento dei creditori. b) Con decreto 15 gennaio 1997 il Pretore di Locarno-Città ha pronunciato il fallimento del ricorrente a far tempo dal 16 gennaio 1997. La questione a sapere se l’importo depositato sul conto corrente postale pignorato va a far parte degli attivi della massa fallimentare, dipende dalla determinazione della sua pignorabiltà ex art. 93 LEF (DTF 71 III 140). c) 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 d) Ex art. 93 LEF ogni provento del lavoro, gli usufrutti e il loro prodotto, le rendite vitalizie e gli alimenti, le pensioni e le prestazioni di qualsiasi tipo destinate a risarcire una perdita di guadagno o una pretesa derivante dal diritto al mantenimento, segnatamente le rendite e le indennità in capitale che non siano impignorabili giusta l’art. 92, possono essere pignorati in quanto, a giudizio dell’ufficiale, non siano assolutamente necessari  al sostentamento del debitore e della sua famiglia. La limitazione quantitativa della pignorabilità di introiti consiste nel fatto che può essere pignorata solo quella quota che non sia assolutamente necessaria al sostentamento del debitore e della sua famiglia (cfr. Amonn/Gasser, Grundriss des Schuldbetreibungs- und Konkursrechts, Berna 1997, § 23 n. 53 p. 175). e) Il ricorrente ha rilevato che il saldo di Fr. 8’247.86 risultante dal conto corrente postale era dovuto al blocco del conto sul quale confluivano le sue esigue entrate mensili, avvenuto nella seconda metà di giugno 1996 su ordine dell’Ufficio esazione, e che in seguito al pignoramento non era più in grado di far fronte alle sue spese correnti private e professionali. Come si evince dalla narrativa fattuale sub B, il ricorrente al momento del pignoramento percepiva mensilmente Fr. 1’118.-- dall’AI e Fr. 1’000.-- dall’assicurazione contro gli infortuni, complessivamente Fr. 2’118.--, mentre il suo minimo di esistenza è stato calcolato in Fr. 2’939.-- al mese. Da queste cifre emerge pertanto chiaramente non solo che non vi era alcuna eccedenza pignorabile, ma che __________ accusava ogni mese un ammanco di Fr.821.--, per cui non era in grado di coprire il suo minimo vitale. L’importo emergente dal conto corrente postale in oggetto, formatosi in seguito al blocco del conto, doveva pertanto restare a disposizione del ricorrente al fine di permettergli di far fronte al suo sostentamento.</w:t>
      </w:r>
    </w:p>
    <w:p>
      <w:r>
        <w:rPr>
          <w:b/>
        </w:rPr>
        <w:t>E. 1.1</w:t>
      </w:r>
    </w:p>
    <w:p>
      <w:r>
        <w:t>Di conseguenza è ordinato all’UEF di Locarno di procedere allo sblocco del conto corrente postale n. __________ presso l’Ufficio dei conti correnti postale, __________, intestato a __________ 2. La domanda di assistenza giudiziaria è accolta. Il ricorrente è posto al beneficio del gratuito patrocinio dell’avv. __________</w:t>
      </w:r>
    </w:p>
    <w:p>
      <w:r>
        <w:rPr>
          <w:b/>
        </w:rPr>
        <w:t>E. 3</w:t>
      </w:r>
    </w:p>
    <w:p>
      <w:r>
        <w:t>Non si prelevano spese.</w:t>
      </w:r>
    </w:p>
    <w:p>
      <w:r>
        <w:rPr>
          <w:b/>
        </w:rPr>
        <w:t>E. 4</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5</w:t>
      </w:r>
    </w:p>
    <w:p>
      <w:r>
        <w:t>Intimazione:    -    avv.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