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TI_GERICHTE 15.1997.100 vom 29. Juli 1998</w:t>
      </w:r>
    </w:p>
    <w:p>
      <w:r>
        <w:t>TI Tribunale d'appello, 1998-07-29, IT</w:t>
      </w:r>
    </w:p>
    <w:p>
      <w:r>
        <w:rPr>
          <w:b/>
        </w:rPr>
        <w:t xml:space="preserve">Quelle: </w:t>
      </w:r>
      <w:r>
        <w:t>https://mcp.opencaselaw.ch/entscheid/ti_gerichte_15.1997.100</w:t>
      </w:r>
    </w:p>
    <w:p>
      <w:r>
        <w:t>FR: TI_GERICHTE 15.1997.100 du 29 juillet 1998</w:t>
      </w:r>
    </w:p>
    <w:p>
      <w:r>
        <w:t>IT: TI_GERICHTE 15.1997.100 del 29 luglio 1998</w:t>
      </w:r>
    </w:p>
    <w:p>
      <w:pPr>
        <w:pStyle w:val="Heading2"/>
      </w:pPr>
      <w:r>
        <w:t>Regeste</w:t>
      </w:r>
    </w:p>
    <w:p>
      <w:r>
        <w:t>Sentenza o decisione senza scheda</w:t>
      </w:r>
    </w:p>
    <w:p>
      <w:pPr>
        <w:pStyle w:val="Heading2"/>
      </w:pPr>
      <w:r>
        <w:t>Erwägungen</w:t>
      </w:r>
    </w:p>
    <w:p>
      <w:r>
        <w:rPr>
          <w:b/>
        </w:rPr>
        <w:t>E. 2</w:t>
      </w:r>
    </w:p>
    <w:p>
      <w:r>
        <w:t>Abbondanzialmente va rilevato che il ricorso andrebbe respinto anche nel merito. Infatti l’elenco oneri 9 maggio 1997 ed il nuovo elenco oneri 20 maggio 1997 sono assolutamente identici per quanto attiene l’oggetto del ricorso 20 maggio della __________ vale a dire la menzione della limitazione di diritto pubblico della proprietà a favore del__________. Costringere la Banca ad inoltrare un nuovo ricorso identico a quello già inoltrato il 20 maggio 1997 costituirebbe un eccessivo formalismo non giustificabile, nel caso in esame, dagli interessi delle parti. L’__________ ha ricevuto comunicazione del nuovo elenco oneri in data 20 maggio 1997, ed il ricorso, con il termine per le osservazioni, è stato notificato il 28 maggio 1997. Quindi, come rilevato in precedenza, il ricorrente avrebbe potuto far valere le proprie argomentazioni formulando le osservazioni al ricorso, essendo in quel momento già a conoscenza del nuovo elenco oneri.</w:t>
      </w:r>
    </w:p>
    <w:p>
      <w:r>
        <w:rPr>
          <w:b/>
        </w:rPr>
        <w:t>E. 3</w:t>
      </w:r>
    </w:p>
    <w:p>
      <w:r>
        <w:t>Contro questa decisione è dato ricorso entro dieci giorni alla Camera delle esecuzioni e dei fallimenti del Tribunale federale a Losanna, per il tramite della scrivente Camera di esecuzione e fallimenti del Tribunale d’appello, in conformità dell’art. 19 LEF.</w:t>
      </w:r>
    </w:p>
    <w:p>
      <w:r>
        <w:rPr>
          <w:b/>
        </w:rPr>
        <w:t>E. 4</w:t>
      </w:r>
    </w:p>
    <w:p>
      <w:r>
        <w:t>Intimazione a: - __________ Per la Camera di esecuzione e fallimenti del Tribunale d’appello quale autorità di vigilanza Il presidente                                                                             La segretaria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