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15.1997.00151 vom 19. Juni 1998</w:t>
      </w:r>
    </w:p>
    <w:p>
      <w:r>
        <w:t>TI Tribunale d'appello, 1998-06-19, IT</w:t>
      </w:r>
    </w:p>
    <w:p>
      <w:r>
        <w:rPr>
          <w:b/>
        </w:rPr>
        <w:t xml:space="preserve">Quelle: </w:t>
      </w:r>
      <w:r>
        <w:t>https://mcp.opencaselaw.ch/entscheid/ti_gerichte_15.1997.00151</w:t>
      </w:r>
    </w:p>
    <w:p>
      <w:r>
        <w:t>FR: TI_GERICHTE 15.1997.00151 du 19 juin 1998</w:t>
      </w:r>
    </w:p>
    <w:p>
      <w:r>
        <w:t>IT: TI_GERICHTE 15.1997.00151 del 19 giugno 1998</w:t>
      </w:r>
    </w:p>
    <w:p>
      <w:pPr>
        <w:pStyle w:val="Heading2"/>
      </w:pPr>
      <w:r>
        <w:t>Regeste</w:t>
      </w:r>
    </w:p>
    <w:p>
      <w:r>
        <w:t>Sentenza o decisione senza scheda</w:t>
      </w:r>
    </w:p>
    <w:p>
      <w:pPr>
        <w:pStyle w:val="Heading2"/>
      </w:pPr>
      <w:r>
        <w:t>Erwägungen</w:t>
      </w:r>
    </w:p>
    <w:p>
      <w:r>
        <w:rPr>
          <w:b/>
        </w:rPr>
        <w:t>E. 2</w:t>
      </w:r>
    </w:p>
    <w:p>
      <w:r>
        <w:t>Le condizioni d’incanto stabiliscono le modalità di aggiudicazione del fondo e ne costituiscono la base legale (cfr. Fritzsche/ Walder, op.cit.,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 atteso che a differenza di quanto avviene nell’esecuzione speciale l’assegnazione al deliberatario - fino a concorrenza del prezzo di aggiudicazione - di un’obbligazione personale assistita da pegno ha effetto liberatorio per il fallito (cfr. art.130 cpv.4 RFF; Fritzsche/ Walder, Schuldbetreibung und Konkurs nach schweizerischem Recht, Vol. II, Zurigo 1993, §51 n.12 p.340).</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diegli oneri reali che esistono e passano all’aggiudicatario per virtù di legge (cfr. art. 125 cpv.1 primo periodo RFF, art. 58 cpv.2 RUF). b) Per l’art. 208 cpv.1 LEF la dichiarazione di fallimento rende esigibili rimpetto alla massa tutti i debiti del fallito, eccettuati quelli che sono effettivamente garantiti da pegno sui suoi fondi. Di questi ultimi - se ammessi nell’elenco oneri - si dovrà indicarne con esattezza la scadenza, atteso che in principio se sono scaduti al momento dell’incanto, vengono estinti con il ricavo della realizzazione (cfr. art. 135 cpv.1 terzo periodo LEF) rispettivamente - qualora comportassero anche un’obbligazione personale nei confronti del fallito - saranno collocati ex art. 219 cpv.4 LEF nella graduatoria per la parte rimasta scoperta, come crediti chirografari (cfr. art. 85 terzo paragrafo RUF). Se invece non sono scaduti al momento dell’incanto, vengono assegnati all’aggiudicatario (cfr. combinati art. 130 e 46 cpv.2 RFF). c) Crediti assistiti da ipoteca legale devono tuttavia essere sempre saldati con la realizzazione: se sono scaduti al momento dell’incanto vanno pagati in contanti, con imputazione sul prezzo di aggiudicazione (cfr. combinati art. 130 cpv.1 e art. 46 cpv.1 e 2 RFF), se invece non sono ancora scaduti e quindi non iscritti nell’elenco oneri, vanno pagati dall’aggiudicatario senza imputazione sul prezzo nella misura in cui rientrano in quelli previsti dall’art. 49 cpv.1 lett.b RFF (cfr. combinati art. 130 cpv. 1 e 49 cpv.1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Come precisato da questa Camera “quello dell’ufficio di esecuzione, e conseguentemente dell’autorità di vigilanza, è comunque un potere di cognizione limitato ad un esame prima facie, senza possibilità di approfondimento (cfr. art. 36 cpv.2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 Das Schweizerische Zivilgesetzbuch, 11. ed., Zurigo 1995, p. 824; Paul-Henri Steinauer , Les droits réels, Vol. III, 2. ed., Berna 1996, p. 195, N. 2825, 2830d e riferimenti) - soltanto quando risulti manifesta l’assenza di una base legale che li ponga al beneficio di siffatta ipoteca. In caso di dubbio la loro iscrizione nell’elenco oneri non può invece essere rifiutata” [cfr. sentenza CEF 14 marzo 1997 su reclami di Stato del Cantone Ticino e del Comune di __________. b) Nel fallimento non vi è spazio tuttavia per una procedura separata di appuramento dell’elenco oneri ( Lastenbereinigungsverfahren) ex art. 106-109 LEF come quella prevista nell’esecuzione speciale (cfr. gli art. 36 ss. RRF rispettivamente i combinati art. 102 RFF e art. 36 RRF; Fritzsche/ Walder , op. cit., Vol. II, §49 p.293 n.3; M. Süsskind , Das schweizerische Widerspruchsverfahren (art. 106-109) und die deutsche Drittintervention (§771 ZPO), Zurigo 1989, p.21s.); l’appuramento degli oneri avviene infatti nell’ambito della contestazione della graduatoria, della quale gli elenchi (oneri) speciali ex art.125 RFF sono parti integranti, e con la quale vengono depositati (cfr. art. 247 cpv.2 LEF). I principi valgono tuttavia, mutatis mutandis , anche per l‘allestimento dell’elenco oneri nell’ambito di un fallimento, l’elenco speciale di cui all’art. 125 RFF essendo assimilabile quanto a contenuto ed effetti all’elenco oneri dell’esecuzione speciale (cfr. Amonn/Gasser, op.cit., §46 p.368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art.250 LEF) quando contestato è il contenuto di diritto materiale, in particolare anche l’estensione e il grado degli oneri iscritti negli elenchi speciali (cfr. Fritzsche/ Walder, op.cit., Vol. II, §49 p.303 ss.). c) All’amministrazione del fallimento, e su ricorso all’autorità di vigilanza, compete dunque unicamente la questione pregiudiziale a sapere se a un esame prima facie (e con riserva di diverso parere da parte del giudice del merito) le pretese creditorie fatte valere dagli enti pubblici, ma contestate mediante reclamo dalla creditrice pignoratizia __________ costituiscono crediti garantiti da ipoteca legale, atteso che soltanto in caso di manifesta assenza di una base legale che li ponga al beneficio di siffatta ipoteca essi non potranno essere iscritti nell’elenco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lett.b RFF (cfr. fra tante CEF 27 giugno 1994 su reclamo C.S. c. T.SA, cons.5 in fine , in: Rep. 1994, p.441 ss.).</w:t>
      </w:r>
    </w:p>
    <w:p>
      <w:r>
        <w:rPr>
          <w:b/>
        </w:rPr>
        <w:t>E. 5</w:t>
      </w:r>
    </w:p>
    <w:p>
      <w:r>
        <w:t>Iscritti nell’elenco oneri - rispettivamente nella graduatoria fallimentare - possono essere soltanto crediti garantiti da pegno nei confronti del fallito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Fritzsche/Walder, op.cit., Vol. II, §52 n. 19ss. p.368 ss.; Amonn/Gasser, op.cit., §48 n.2ss. p. 391 s.; DTF 106 III 124, 105 III ). Momento determinante per la distinzione tra “Konkursforderungen” e debiti di massa è quindi in linea di principio la dichiarazione di fallimento (cfr. anche Pierre-Robert Gilliéron, Poursuite pour dettes, faillite et concordat, 3. ed., Losanna 1993, p.300). La qualificazione di una pretesa creditoria come debito di massa o come debito del fallito è tuttavia una questione che dev’essere decisa dal giudice del merito competente e che sfugge al potere di cognizione dell’autorità di vigilanza (DTF 113 III 148ss.; 106 III 121s.; Amonn/Gasser, op.cit., §42 n.8 p.233;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cons.3 in fine ), atteso che l’iscrizione in graduatoria di una pretesa successivamente riconosciuta come debito di massa è da considerarsi nulla con effetto retroattivo (DFT 106 III 123s. e rif. ivi).</w:t>
      </w:r>
    </w:p>
    <w:p>
      <w:r>
        <w:rPr>
          <w:b/>
        </w:rPr>
        <w:t>E. 6</w:t>
      </w:r>
    </w:p>
    <w:p>
      <w:r>
        <w:t>Oggetto di disputa è il contenuto della nota “N.B.” inserita dall’UEF in calce alle condizioni d’incanto. Ora, come accennato in precedenza (cons.2) le condizioni d’incanto devono indicare tra l’altro anche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 La nota N.B. in calce alle condizioni d’asta va pertanto interamente depennata A titolo di completezza va tuttavia osservato che i crediti fiscali riferiti agli anni 1988-1994 (Cantone) rispettivamente 1989-1994 (Comune di __________) in quanto contenuti nell’elenco oneri (cresciuto in giudicato) rappresentano a non averne dubbio crediti contro il fallito (cosiddette “Konkursforderungen”) garantiti da ipoteche legali sul fondo. Siffatti crediti, con gli interessi ad essi relativi e aggiornati al momento dell’incanto, verranno soddisfatti in primo luogo dalla somma ricavata dalla realizzazione del fondo - dopo deduzione delle spese occorse per la sua amministrazione e realizzazione a norma dell’art.85 primo paragrafo RUF e dell’art. 209 LEF. In particolare va ricordato che l’esistenza del pegno su detti crediti non può più essere rimessa in discussione nella procedura fallimentare in atto.</w:t>
      </w:r>
    </w:p>
    <w:p>
      <w:r>
        <w:rPr>
          <w:b/>
        </w:rPr>
        <w:t>E. 7</w:t>
      </w:r>
    </w:p>
    <w:p>
      <w:r>
        <w:t>Non si prelevano spese (art. 61 cpv. 2 lett. a OTLEF) e non si assegnano indennità (art. 62 cpv. 2 OTLEF), perché così è disciplinato per normativa di diritto federale. Richiamati gli art. 130, 134ss., 208,209,259, 261, 262 LEF, 36, 46ss. RFF, 85 RUF. pronuncia:               1. Il ricorso 8 settembre 1997 __________, è accolto nel senso dei considerandi. 1.1. E’ depennata dalle condizioni d’incanto l’intera nota sub N.B. del seguente tenore: “N.B.:   Le eventuali imposte dovute allo Stato del Cantone Ticino (TUI di cui all’art. 123 LT, riservato l’art.139 LT), nonché le eventuali imposte dovute allo Stato del Cantone Ticino e al Comune di __________ di cui all’art. 66 e segg. - art. 274-276 e segg. e art. 291 LT e precisamente: -    le imposte cantonali provvisorie 1996-1997 ammontanti a fr. 376.60; -    gli interessi sulle imposte cantonali definitive dal 1988 al 1994 ammontanti a fr. 200.90 (e meglio come all’aggiornamento della notifica di credito del 25 marzo 1997) -    le imposte comunali 1995-1996-1997 ammontanti a fr. 361.05 -    gli interessi sulle imposte comunali dal 1987 al 1997 ammontanti a fr.192.95 (e meglio come all’aggiornamento della notifica di credito del 24 luglio 1997) saranno considerate come debito della Massa (art. 262 cpv.1 LEF) e, pertanto, esse dovranno essere dedotte dalla somma ricavata dal pegno e pagate prima della distribuzione ai creditori della somma netta (Vedi sentenza T.F. del 1° Marzo 1996 nella causa Massa fallimentare __________). L’Amministrazione del fallimento pagherà questi contributi che verranno dedotti sul ricavo della realizzazione, sotto riserva che nessuna contestazione, quanto all’imposta rivendicata, non sia stata formulata dalla Massa fallimentare o dai creditori ipotecari, che saranno consultati dall’Amministrazione del fallimento alla ricezione della notifica dell’imposta.” 2. Non si prelevano spese, né si assegnano indennità. 3. Contro questa decisione è dato ricorso entro dieci giorni alla Camera delle esecuzioni e dei fallimenti del Tribunale federale a __________, per il tramite della scrivente Camera di esecuzione e fallimenti del Tribunale d’appello, in conformità dell’art.19 LEF. 4. 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