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15.1996.00015 vom 30. September 1996</w:t>
      </w:r>
    </w:p>
    <w:p>
      <w:r>
        <w:t>TI Tribunale d'appello, 1996-09-30, IT</w:t>
      </w:r>
    </w:p>
    <w:p>
      <w:r>
        <w:rPr>
          <w:b/>
        </w:rPr>
        <w:t xml:space="preserve">Quelle: </w:t>
      </w:r>
      <w:r>
        <w:t>https://mcp.opencaselaw.ch/entscheid/ti_gerichte_15.1996.00015</w:t>
      </w:r>
    </w:p>
    <w:p>
      <w:r>
        <w:t>FR: TI_GERICHTE 15.1996.00015 du 30 septembre 1996</w:t>
      </w:r>
    </w:p>
    <w:p>
      <w:r>
        <w:t>IT: TI_GERICHTE 15.1996.00015 del 30 settembre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l'art. 17 cpv. 2 LEF il reclamo all’Autorità di vigilanza deve essere presentato entro dieci giorni da quello in cui il reclamante ebbe notizia del provvedimento. Con scritto 9 ottobre 1995 l’escussa ha comunicato all’UEF di Locarno di nulla dovere alla procedente chiedendogli contestualmente di annullare la pubblicazione del precetto e promettendo di pagare l’importo in esecuzione entro il 17 ottobre 1995. Al più tardi il 9 ottobre 1995 __________ ha quindi saputo dell’emissione del PE n. __________ e della notificazione mediante pubblicazione sul Foglio Ufficiale Cantonale. Ne consegue che il reclamo 1. febbraio 1996 di __________ risulta abbondantemente tardivo.</w:t>
      </w:r>
    </w:p>
    <w:p>
      <w:r>
        <w:rPr>
          <w:b/>
        </w:rPr>
        <w:t>E. 2</w:t>
      </w:r>
    </w:p>
    <w:p>
      <w:r>
        <w:t>Sebbene il reclamo sia irricevibile per tardività è opportuno evidenziare, a futura memoria, che lo stesso sarebbe stato da respingere anche nel merito.</w:t>
      </w:r>
    </w:p>
    <w:p>
      <w:r>
        <w:rPr>
          <w:b/>
        </w:rPr>
        <w:t>E. 3</w:t>
      </w:r>
    </w:p>
    <w:p>
      <w:r>
        <w:t>__________ postula la declaratoria di nullità dell’esecuzione n. __________, aggravandosi contro la pubblicazione del PE nelle forme edittali perché ella è sempre stata domiciliata a Locarno e ”la notifica nelle forme edittali di un PE è ammissibile soltanto nel caso eccezionale, non ricorrente nella fattispecie, che il debitore sia davvero irreperibile, e non certo per il fatto che questo sia un po' sordo e tanto malconcio da non poter scattare ad aprire la porta d’ingresso”. a) Di principio vi è la possibilità di notificare atti esecutivi in via edittale quando in Svizzera è dato un luogo dell'esecuzione (cfr. CEF</w:t>
      </w:r>
    </w:p>
    <w:p>
      <w:r>
        <w:rPr>
          <w:b/>
        </w:rPr>
        <w:t>E. 5</w:t>
      </w:r>
    </w:p>
    <w:p>
      <w:r>
        <w:t>La reclamante evidenzia infine che i quadri “dalle posizioni da 26 a 30 sono stati acquistati per un valore superiore a Fr. 100’000.-- dal figlio della signora __________ a cui appartiene l’orologio posizione n. 31 d’oro (non dorato) del valore di acquisto di Fr. 25’000.--/30’000.--”. a) l’ufficio di esecuzione non poteva non pignorare gli oggetti in questione, atteso che ex art. 95 cpv. 3 LEF devono essere pignorati anche i beni indicati dal debitore come appartenenti a terzi ( DTF 84 III 83). b) La debitrice non ha interposto opposizione nell’esecuzione n. __________. L’UEF di Locarno si è quindi determinato correttamente: infatti quando non vi è opposizione, la procedura esecutiva deve continuare su richiesta della creditrice con il pignoramento e, ricevuta la domanda in tal senso da parte della creditrice (art. 116 cpv. 1 LEF), con l’avviso alla debitrice che quest’ultima ha domandato la realizzazione (art. 120 LEF) e con la conseguente realizzazione (art. 122 cpv.1 LEF). c) Né l’Ufficio di esecuzione né l’Autorità di vigilanza possono statuire -in linea di principio per carenza di competenza per materia di questa giurisdizione amministrativa- su questioni di diritto materiale come quella sul diritto di proprietà di un oggetto ( DTF 72 III 16, 48 III 39). Quando, come in concreto, la debitrice rivendica per il figlio l’esclusiva proprietà di parte dei beni pignorati, la procedura da seguire è quella di rivendicazione ( DTF 72 III 19, 48 III 39 ss.): in tal senso dovrà pertanto procedere l’UEF di Locarno dando avvio alla nota procedura ex art. 106-109 LEF relativamente ai quadri staggiti alle posizioni da 26 a 30 e all’orologio sub n. 31 del verbale di pignoramento. Nelle more della procedura di rivendicazione l’incanto di questi oggetti rimarrà sospeso.</w:t>
      </w:r>
    </w:p>
    <w:p>
      <w:r>
        <w:rPr>
          <w:b/>
        </w:rPr>
        <w:t>E. 6</w:t>
      </w:r>
    </w:p>
    <w:p>
      <w:r>
        <w:t>Il reclamo 1. febbraio 1996 __________ è quindi irricevibile per tardività. Non si prelevano spese (art. 67 cpv. 2 OTLEF) e non si assegnano indennità (art. 68 cpv. 2 OTLEF), perché così previsto per normativa di diritto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