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15.1995.218 vom 5. Februar 1996</w:t>
      </w:r>
    </w:p>
    <w:p>
      <w:r>
        <w:t>TI Tribunale d'appello, 1996-02-05, IT</w:t>
      </w:r>
    </w:p>
    <w:p>
      <w:r>
        <w:rPr>
          <w:b/>
        </w:rPr>
        <w:t xml:space="preserve">Quelle: </w:t>
      </w:r>
      <w:r>
        <w:t>https://mcp.opencaselaw.ch/entscheid/ti_gerichte_15.1995.218</w:t>
      </w:r>
    </w:p>
    <w:p>
      <w:r>
        <w:t>FR: TI_GERICHTE 15.1995.218 du 5 février 1996</w:t>
      </w:r>
    </w:p>
    <w:p>
      <w:r>
        <w:t>IT: TI_GERICHTE 15.1995.218 del 5 febbraio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Presupposto processuale, da verificare d'ufficio, è la legittimazione al reclamo. a) Secondo la giurisprudenza e la dottrina, la legittimazione a presentare reclamo deve essere riconosciuta ad ogni persona lesa nei propri interessi giuridicamente protetti da una misura dell'organo d’esecuzione, costitutiva di pregiudizio materiale attuale (DTF 112 III 1 cons.3b p.3 con rinvii; CEF 11 marzo 1994 su reclamo R. e L. W.; Kurt Amonn, Grundriss des Schuldbetreibungs- und Konkursrechts, Berna 1993, §6 m.19 p.58; Pierre-Robert Gilliéron, Poursuite pour dettes, faillite et concordat, Losanna 1993, 56; Fritzsche/Walder, Schuldbetreibung und Konkurs nach schweizerischem Recht, vol. I, Zurigo 1984, §8 m.16). Il reclamante deve spiegare, a meno che già risulti evidente, in che misura la decisione impugnata leda i suoi interessi giuridicamente protetti. b) Il reclamo presuppone un interesse pratico e attuale e non può tendere alla semplice constatazione di un errato comportamento (art. 21 LEF; DTF 97 III 38 cons.2 e rif. ivi. Fritzsche/Walder, op. cit., §8 m.14 e n.25 con rif. ivi). Va qui ricordato che la procedura di reclamo serve per raggiungere uno scopo procedurale ben definito e non per precostituirsi una favorevole base di partenza per un'eventuale successiva azione di responsabilità ex art. 5, 6 e 7 LEF (DTF 110 III 89 cons.1b, 105 III 36-37, 91 III 46-47 cons.7; CEF 22 giugno 1987 su reclami L. P. &amp; LLCC cons.9 e rif. ivi). Le pretese risarcitorie e i relativi presupposti, illiceità e colpa oltre a danno e nesso adeguato di causalità, sono infatti di esclusiva competenza del giudice civile cui la parte che se ne prevale potrà, se del caso e ove ne ricorrano i presupposti, ricorrere (DTF 80 III 53 e 31 II 342; CEF 27 dicembre 1990 su reclamo dott. R. G.; Amonn, op. cit., §5 m.7-14; Gilliéron, op. cit., p.49; Fritzsche/Walder, op. cit., vol. I, §7 m.12).</w:t>
      </w:r>
    </w:p>
    <w:p>
      <w:r>
        <w:rPr>
          <w:b/>
        </w:rPr>
        <w:t>E. 2</w:t>
      </w:r>
    </w:p>
    <w:p>
      <w:r>
        <w:t>__________ assevera in sostanza che il pignoramento completivo colpisce il conto di investimento n. __________ e il deposito titoli n. __________ di proprietà di __________. Orbene, se sono stati pignorati beni non di proprietà della reclamante, __________ non è stata lesa dal provvedimento dell'UEF di Mendrisio nei propri interessi giuridicamente protetti: mancando il pregiudizio materiale attuale, non si realizza nel caso di specie il presupposto processuale della legittimazione al reclamo. Ne consegue l'irricevibilità del gravame.</w:t>
      </w:r>
    </w:p>
    <w:p>
      <w:r>
        <w:rPr>
          <w:b/>
        </w:rPr>
        <w:t>E. 3</w:t>
      </w:r>
    </w:p>
    <w:p>
      <w:r>
        <w:t>Restano comunque riservati i diritti di __________ sui beni pignorati: ove fosse formulata rivendicazione di proprietà, l'UEF di Mendrisio si determinerà ex art. 106 ss. LEF come peraltro già prospettato dall'organo d'esecuzione in sede di osservazioni.</w:t>
      </w:r>
    </w:p>
    <w:p>
      <w:r>
        <w:rPr>
          <w:b/>
        </w:rPr>
        <w:t>E. 4</w:t>
      </w:r>
    </w:p>
    <w:p>
      <w:r>
        <w:t>Non si prelevano spese (art. 67 cpv.2 OTLEF) e non si assegnano indennità (art. 68 cpv.2 OTLEF). Per questi motivi, richiamati gli art. 17 e 95 ss. LEF PRONUNCIA: 1. Il reclamo 4 ottobre 1995 __________ è irricevibile. 2. Non si prelevano spese e non si assegnano indennità. 3. Intimazione a:   -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