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15.1995.00202 vom 15. November 1995</w:t>
      </w:r>
    </w:p>
    <w:p>
      <w:r>
        <w:t>TI Tribunale d'appello, 1995-11-15, IT</w:t>
      </w:r>
    </w:p>
    <w:p>
      <w:r>
        <w:rPr>
          <w:b/>
        </w:rPr>
        <w:t xml:space="preserve">Quelle: </w:t>
      </w:r>
      <w:r>
        <w:t>https://mcp.opencaselaw.ch/entscheid/ti_gerichte_15.1995.00202</w:t>
      </w:r>
    </w:p>
    <w:p>
      <w:r>
        <w:t>FR: TI_GERICHTE 15.1995.00202 du 15 novembre 1995</w:t>
      </w:r>
    </w:p>
    <w:p>
      <w:r>
        <w:t>IT: TI_GERICHTE 15.1995.00202 del 15 novembre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ha per oggetto l’assegnazione dei ruoli processuali nella pedissequa azione di merito ex art. 107 o 109 LEF volta all’accertamento dei diritti di proprietà o di pegno (azione di rivendicazione). Nei casi di sequestro tornano infatti applicabili, per quanto qui di rilievo, gli art. da 106 a 109 LEF per il rinvio di cui all'art. 275 LEF ( DTF 107 III 39; Kurt Amonn , Grundriss des Schuldbetreibungs- und Konkursrechts, 1993, § 51 m. 46; Pierre-Robert Gilliéron , Poursuite pour dettes, faillite et concordat, 1993, p. 386).</w:t>
      </w:r>
    </w:p>
    <w:p>
      <w:r>
        <w:rPr>
          <w:b/>
        </w:rPr>
        <w:t>E. 2</w:t>
      </w:r>
    </w:p>
    <w:p>
      <w:r>
        <w:t>Per l'art. 107 cpv. 1 LEF quando una cosa si trova in possesso del debitore, se il creditore o il debitore contesta la pretesa del terzo, l'ufficio invita quest'ultimo a farla valere in giudizio quale parte attrice entro 10 giorni; per l'art. 109 LEF se la cosa non si trova in possesso del debitore, ma presso un terzo che vanti su di essa un diritto di proprietà o di pegno, l'ufficio assegna al creditore un termine di dieci giorni per agire, quale attore, giudizialmente contro il terzo. Determinante per l’assegnazione dei ruoli processuali è quindi il possesso o meno della cosa da parte del debitore ( DTF 89 III 70 e 87 III 12; CEF</w:t>
      </w:r>
    </w:p>
    <w:p>
      <w:r>
        <w:rPr>
          <w:b/>
        </w:rPr>
        <w:t>E. 6</w:t>
      </w:r>
    </w:p>
    <w:p>
      <w:r>
        <w:t>I beni mobili rivendicati da __________, __________, __________ e __________ si trovano nei locali locati da una terza società alla __________. Unico possessore dei beni rivendicati è dunque la __________, atteso che essere presidente del consiglio di amministrazione della __________ non conferisce ad __________ il diritto di disporre dei noti beni per uso personale.</w:t>
      </w:r>
    </w:p>
    <w:p>
      <w:r>
        <w:rPr>
          <w:b/>
        </w:rPr>
        <w:t>E. 7</w:t>
      </w:r>
    </w:p>
    <w:p>
      <w:r>
        <w:t>Nel caso in esame il quarto detentore __________ ha dichiarato in termini univoci tanto durante l’esecuzione del sequestro quanto in sede di osservazioni al reclamo di “possedere” i noti beni per conto delle rivendicanti: ne consegue che sarà la creditrice __________ a dover promuovere le azioni di rivendicazione ex art. 109 LEF contro __________, quali terze rivendicanti la proprietà ( Gilliéron , op. cit., p. 211 e rif. ivi; Amonn , op. cit., § 24 m. 44), così come correttamente stabilito dall’UE di Lugano con il provvedimento impugnato.</w:t>
      </w:r>
    </w:p>
    <w:p>
      <w:r>
        <w:rPr>
          <w:b/>
        </w:rPr>
        <w:t>E. 8</w:t>
      </w:r>
    </w:p>
    <w:p>
      <w:r>
        <w:t>Il reclamo 3 ottobre 1995 della __________ è respinto. Non si prelevano spese (art. 67 cpv. 2 OTLEF) e non si assegnano indennità (art. 68 cpv. 2 OTLEF), contrariamente alla domanda di __________, poiché così imposto per normativa di diritto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