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15.1995.00186 vom 17. April 1996</w:t>
      </w:r>
    </w:p>
    <w:p>
      <w:r>
        <w:t>TI Tribunale d'appello, 1996-04-17, IT</w:t>
      </w:r>
    </w:p>
    <w:p>
      <w:r>
        <w:rPr>
          <w:b/>
        </w:rPr>
        <w:t xml:space="preserve">Quelle: </w:t>
      </w:r>
      <w:r>
        <w:t>https://mcp.opencaselaw.ch/entscheid/ti_gerichte_15.1995.00186</w:t>
      </w:r>
    </w:p>
    <w:p>
      <w:r>
        <w:t>FR: TI_GERICHTE 15.1995.00186 du 17 avril 1996</w:t>
      </w:r>
    </w:p>
    <w:p>
      <w:r>
        <w:t>IT: TI_GERICHTE 15.1995.00186 del 17 aprile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ha per oggetto l’assegnazione dei ruoli processuali nella successiva azione di merito ex art. 107 o 109 LEF volta all’accertamento dei diritti di proprietà o di pegno (azione di rivendicazione). Nei casi di sequestro tornano infatti applicabili, per quanto qui di rilievo, gli art. da 106 a 109 LEF per il rinvio di cui all'art. 275 LEF ( DTF 107 III 39; Kurt Amonn , Grundriss des Schuldbetreibungs- und Konkursrechts, 1993, § 51 m. 46; Pierre-Robert Gilliéron , Poursuite pour dettes, faillite et concordat, 1993, p. 386).</w:t>
      </w:r>
    </w:p>
    <w:p>
      <w:r>
        <w:rPr>
          <w:b/>
        </w:rPr>
        <w:t>E. 2</w:t>
      </w:r>
    </w:p>
    <w:p>
      <w:r>
        <w:t>Per l'art. 107 cpv. 1 LEF quando una cosa si trova in possesso del debitore, se il creditore o il debitore contesta la pretesa del terzo, l'ufficio invita quest'ultimo a farla valere in giudizio quale parte attrice entro 10 giorni; per l'art. 109 LEF se la cosa non si trova in possesso del debitore, ma presso un terzo che vanti su di essa un diritto di proprietà o di pegno, l'ufficio assegna al creditore un termine di dieci giorni per agire, quale attore, giudizialmente contro il terzo. Determinante per l’assegnazione dei ruoli processuali è quindi il possesso o meno della cosa da parte del debitore ( DTF 89 III 70 e 87 III 12; CEF</w:t>
      </w:r>
    </w:p>
    <w:p>
      <w:r>
        <w:rPr>
          <w:b/>
        </w:rPr>
        <w:t>E. 6</w:t>
      </w:r>
    </w:p>
    <w:p>
      <w:r>
        <w:t>Il bene mobile rivendicato da __________ si trova presso il Cantiere nautico __________ di __________. Unico possessore del bene rivendicato è dunque il Cantiere nautico __________.</w:t>
      </w:r>
    </w:p>
    <w:p>
      <w:r>
        <w:rPr>
          <w:b/>
        </w:rPr>
        <w:t>E. 7</w:t>
      </w:r>
    </w:p>
    <w:p>
      <w:r>
        <w:t>Nel caso in esame il quarto detentore con scritto 19 settembre 1995 (doc. 20) ha dichiarato in termini univoci di possedere il natante per conto del rivendicante: ne consegue che sarà la creditrice (__________) a dover promuovere l’azione di rivendicazione ex art. 109 LEF contro __________ quale terzo rivendicante la proprietà ( Gilliéron , op. cit., p. 211 e rif. ivi; Amonn , op. cit., § 24 m. 44), così come correttamente stabilito dall’UEF di Locarno con il provvedimento impugnato.</w:t>
      </w:r>
    </w:p>
    <w:p>
      <w:r>
        <w:rPr>
          <w:b/>
        </w:rPr>
        <w:t>E. 8</w:t>
      </w:r>
    </w:p>
    <w:p>
      <w:r>
        <w:t>Anche volendo applicare al sequestro di un’imbarcazione i principi sviluppati dalla giurisprudenza in merito al pignoramento risp. al sequestro di un’autovettura, l’esito non muterebbe. Quando l’oggetto pignorato è un’automobile, possessore è il titolare della licenza di circolazione, se egli si serve dell’auto o perlomeno di fatto esercita un certo potere sulla medesima ( BlSchK 1984 p. 215; DTF 76 III 39). Nei casi in cui non vi è chiarezza sui rapporti d’uso dell’auto, possessore esclusivo dell’autovettura è il titolare della licenza di circolazione ( DTF 80 III 28 e rif. ivi). Sebbene siffatto criterio non abbia carattere esclusivo ( DTF 80 III 28 e rif. ivi), nel caso di specie esso si rivelerebbe determinante. Il giorno del sequestro titolare della licenza di navigazione rilasciata dalla Sezione Cantonale della Circolazione di Camorino era infatti il rivendicante __________ __________, al quale tra l’altro è stata consegnata l’imbarcazione dall’importatore il 29 maggio 1990 (doc. 4) e al cui nome è stata emessa la relativa fattura il 22 maggio 1990 (doc. 5).</w:t>
      </w:r>
    </w:p>
    <w:p>
      <w:r>
        <w:rPr>
          <w:b/>
        </w:rPr>
        <w:t>E. 9</w:t>
      </w:r>
    </w:p>
    <w:p>
      <w:r>
        <w:t>Il reclamo 29 agosto 1995 della __________ è respinto. Non si prelevano spese (art. 67 cpv. 2 OTLEF) e non si assegnano indennità (art. 68 cpv. 2 OTLEF), contrariamente alla domanda di __________, poiché così imposto per normativa di diritto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