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15.1995.00028 vom 18. April 1995</w:t>
      </w:r>
    </w:p>
    <w:p>
      <w:r>
        <w:t>TI Tribunale d'appello, 1995-04-18, IT</w:t>
      </w:r>
    </w:p>
    <w:p>
      <w:r>
        <w:rPr>
          <w:b/>
        </w:rPr>
        <w:t xml:space="preserve">Quelle: </w:t>
      </w:r>
      <w:r>
        <w:t>https://mcp.opencaselaw.ch/entscheid/ti_gerichte_15.1995.00028</w:t>
      </w:r>
    </w:p>
    <w:p>
      <w:r>
        <w:t>FR: TI_GERICHTE 15.1995.00028 du 18 avril 1995</w:t>
      </w:r>
    </w:p>
    <w:p>
      <w:r>
        <w:t>IT: TI_GERICHTE 15.1995.00028 del 18 aprile 1995</w:t>
      </w:r>
    </w:p>
    <w:p>
      <w:pPr>
        <w:pStyle w:val="Heading2"/>
      </w:pPr>
      <w:r>
        <w:t>Regeste</w:t>
      </w:r>
    </w:p>
    <w:p>
      <w:r>
        <w:t>Sentenza o decisione senza scheda</w:t>
      </w:r>
    </w:p>
    <w:p>
      <w:pPr>
        <w:pStyle w:val="Heading2"/>
      </w:pPr>
      <w:r>
        <w:t>Erwägungen</w:t>
      </w:r>
    </w:p>
    <w:p>
      <w:r>
        <w:rPr>
          <w:b/>
        </w:rPr>
        <w:t>E. 2</w:t>
      </w:r>
    </w:p>
    <w:p>
      <w:r>
        <w:t>a) Secondo la giurisprudenza e la dottrina, la legittimazione a presentare reclamo deve essere riconosciuta solo a chi è leso nei propri interessi giuridicamente protetti da una misura dell’organo d’esecuzione, costitutiva di pregiudizio materiale attuale (cfr. DTF 112 III 1 cons. 3b p. 3 e rinvii; CEF 11 marzo 1994 su reclamo R. e L.W.; Kurt Amonn , Grundriss des Schuldbetreibungs- und Kunkursrechts, Berna 1993, § 6 m. 19, Pierre-Robert Gilliéron , Poursuite pour dettes, faillite et concordat, Losanna 1993, p.56; Fritzsche/Walder , Schuldbetreibung und Konkurs nach schweizerischem Recht, vol. I, Zurigo 1984, § 8 m . 16). b) Anche nell’ipotesi che __________ abbia effettivamente saputo solo il 17 gennaio 1995 che il 19 gennaio 1995 avrebbe avuto luogo presso la Pretura di Lugano, Sezione 5, l’udienza per la discussione dell’istanza di rigetto dell’opposizione, ella non è stata lesa nei propri interessi giuridicamente protetti e non ha subito alcun pregiudizio dall’inesatta indicazione del suo domicilio nel PE, atteso che al PE è stata interposta tempestiva e regolare opposizione e che in sede di udienza la Segretaria assessore, preso atto del reclamo in oggetto, ha convocato le parti per una nuova udienza di contraddittorio prevista per il 22 febbraio 1995. __________ difetta quindi della legittimazione al reclamo che va pertanto dichiarato irricevibile.</w:t>
      </w:r>
    </w:p>
    <w:p>
      <w:r>
        <w:rPr>
          <w:b/>
        </w:rPr>
        <w:t>E. 2.1</w:t>
      </w:r>
    </w:p>
    <w:p>
      <w:r>
        <w:t>.   E’ fatto ordine all’UE di Lugano di procedere alla modifica sub 2.1. 3 .   Non si prelevano spese e non si assegnano indennità.</w:t>
      </w:r>
    </w:p>
    <w:p>
      <w:r>
        <w:rPr>
          <w:b/>
        </w:rPr>
        <w:t>E. 3</w:t>
      </w:r>
    </w:p>
    <w:p>
      <w:r>
        <w:t>Pur avverandosi il reclamo irricevibile, va rilevato che ex combinati art. 69 cpv. 2 n. 1 e 67 cpv. 1 n. 2 LEF il precetto esecutivo deve contenere il nome ed il domicilio del debitore. Gli atti esecutivi in cui la persona del debitore è indicata in modo poco chiaro e equivoco sono in principio nulli: tuttavia, se la carente designazione del debitore permette di riconoscere senz’altro il vero debitore, l’atto deve essere rettificato e l’esecuzione continuata ( DTF 102 III 63; cfr. anche DTF 114 III 63), atteso che le parti non subiscono pregiudizio dal mantenimento dell’esecuzione ( DTF 102 III 65, 114 III 63). Nel caso di specie nel precetto esecutivo del 19/20 ottobre 1995 quale domicilio della debitrice è stato indicato __________ __________ mentre come si evince dalla dichiarazione 6 dicembre 1994 dell’Ufficio controllo abitanti del Comune di Massagno, esatta indicazione sarebbe stata __________. Sebbene in concreto l’indicazione del domicilio della debitrice non risulti del tutto esatta, le parti hanno comunque potuto riconoscere la vera debitrice. Da siffatta indicazione imprecisa all'escussa non è inoltre derivato, come sopra evidenziato, alcun pregiudizio. Ne consegue che l’esecuzione deve essere continuata e che l’atto esecutivo impugnato deve essere rettificato d'ufficio nel senso che quale debitrice in luogo di __________ è iscritta __________</w:t>
      </w:r>
    </w:p>
    <w:p>
      <w:r>
        <w:rPr>
          <w:b/>
        </w:rPr>
        <w:t>E. 4</w:t>
      </w:r>
    </w:p>
    <w:p>
      <w:r>
        <w:t>.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