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15.1994.15 vom 24. April 1995</w:t>
      </w:r>
    </w:p>
    <w:p>
      <w:r>
        <w:t>TI Tribunale d'appello, 1995-04-24, IT</w:t>
      </w:r>
    </w:p>
    <w:p>
      <w:r>
        <w:rPr>
          <w:b/>
        </w:rPr>
        <w:t xml:space="preserve">Quelle: </w:t>
      </w:r>
      <w:r>
        <w:t>https://mcp.opencaselaw.ch/entscheid/ti_gerichte_15.1994.15</w:t>
      </w:r>
    </w:p>
    <w:p>
      <w:r>
        <w:t>FR: TI_GERICHTE 15.1994.15 du 24 avril 1995</w:t>
      </w:r>
    </w:p>
    <w:p>
      <w:r>
        <w:t>IT: TI_GERICHTE 15.1994.15 del 24 aprile 1995</w:t>
      </w:r>
    </w:p>
    <w:p>
      <w:pPr>
        <w:pStyle w:val="Heading2"/>
      </w:pPr>
      <w:r>
        <w:t>Regeste</w:t>
      </w:r>
    </w:p>
    <w:p>
      <w:r>
        <w:t>Sentenza o decisione senza scheda</w:t>
      </w:r>
    </w:p>
    <w:p>
      <w:pPr>
        <w:pStyle w:val="Heading2"/>
      </w:pPr>
      <w:r>
        <w:t>Erwägungen</w:t>
      </w:r>
    </w:p>
    <w:p>
      <w:r>
        <w:rPr>
          <w:b/>
        </w:rPr>
        <w:t>E. 1</w:t>
      </w:r>
    </w:p>
    <w:p>
      <w:r>
        <w:t>Nel procedere al sequestro o al pignoramento del salario, le autorità di esecuzione sono tenute ad accertare d’ufficio le circostanze determinanti al momento dell’esecuzione del sequestro o del pignoramento, ossia il reddito del debitore e il fabbisogno suo e della sua famiglia (DTF 112 III 21 cons. 2a; 108 III 12 cons. 3; 106 III 13 cons. 2; 102 III 15 cons. 4; Amonn in ZBJV 1984 p. 470), ritenuto che delle successive modifiche della situazione potrà essere tenuto conto soltanto mediante riesame del pignoramento (DTF 108 III 13).</w:t>
      </w:r>
    </w:p>
    <w:p>
      <w:r>
        <w:rPr>
          <w:b/>
        </w:rPr>
        <w:t>E. 1.1</w:t>
      </w:r>
    </w:p>
    <w:p>
      <w:r>
        <w:t>Di conseguenza è annullato l’atto di pignoramento 7/17 novembre 1994 dell’Ufficio esecuzione di Lugano. 2. Non si prelevano spese e non si assegnano indennità. 3. Intimazione a:   - __________ Per la Camera di esecuzione e fallimenti del Tribunale d’appello quale autorità di vigilanza Il presidente La segretaria</w:t>
      </w:r>
    </w:p>
    <w:p>
      <w:r>
        <w:rPr>
          <w:b/>
        </w:rPr>
        <w:t>E. 2</w:t>
      </w:r>
    </w:p>
    <w:p>
      <w:r>
        <w:t>a) Secondo il punto 2.4.3. della Tabella dei minimi di esistenza agli effetti del diritto esecutivo (in seguito: Tabella) a  chi è costretto a prendere dei pasti fuori dell’economia domestica vengono riconosciuti da Fr. 6.-- a Fr. 9.-- per ogni pasto principale. Secondo il punto 2.6 della citata Tabella all’importo base mensile possono venire aggiunte spese supplementari per l’istruzione dei figli, quali spese per mezzi di trasporto pubblico, materiale scolastico e simili fino alla loro maggiore età (DTF 98 III 34). b) Alla reclamante vanno pertanto riconosciuti per la figlia minorenne supplementi mensili  di Fr. 80.-- per la trasferta (treno e bus), Fr. 100.-- per il materiale scolastico e  Fr. 180.-- (Fr. 9.-- al pasto per 20 giorni al mese) per i pasti consumati fuori dall’economia domestica, complessivamente  Fr. 360.-- al mese.</w:t>
      </w:r>
    </w:p>
    <w:p>
      <w:r>
        <w:rPr>
          <w:b/>
        </w:rPr>
        <w:t>E. 3</w:t>
      </w:r>
    </w:p>
    <w:p>
      <w:r>
        <w:t>a) E` principio giurisprudenziale e dottrinale indiscusso che le spese fisse e correnti connesse all’uso di un’automobile rientrano nel minimo esistenziale del debitore solo se il veicolo viene dichiarato impignorabile ex art. 92 n. 3 LEF, ossia se il veicolo è necessario al debitore per l’esercizio della sua professione (cfr. DTF 104 III 75 cons. 2a) - b), 97 III 52; Fritzsche/Walder, Schuldbetreibung und Konkurs nach schweizerischem Recht, vol. I, Zurigo 1984, § 24 m. 60). b) In casu alla reclamante, che lavora come puericultrice presso __________ di __________, svolgendo la sua attività anche durante orari notturni, va riconosciuta la necessità di far uso dell’automobile. Nel calcolo del suo minimo di esistenza  va di conseguenza computato il supplemento richiesto di Fr. 130.-- al mese per le spese fisse e correnti dell’autovettura. Va rilevato che l'abbonamento del treno per la tratta da __________ a __________ e quello dell’autobus dalla stazione a __________ costano per adulti Fr. 71.-- risp. Fr. 28.-- al mese, complessivamente Fr. 99.-- mensili. Questi mezzi pubblici circolano però ad orari limitati e non possono risolvere i problemi di trasporto della reclamante. 4.   __________ pretende inoltre che venga tenuto conto dei suoi pagamenti per  imposte arretrate, così come per debiti nei confronti del __________ e di altri due creditori per affitti arretrati. La giurisprudenza si è già espressa nel senso che nel computo del minimo vitale non si può tenere conto delle spese occorrenti al pagamento delle imposte (cfr. DTF 69 III 41-42). Perché si diano privilegi in diritto di determinati creditori occorre un’espressa norma di legge in tal senso. La giurisprudenza del Tribunale federale ha attenuato il rigore di questo principio stabilendo in DTF 112 III 18 (cfr. anche Kurt Amonn in ZBJV 1988 p. 329-330) che determinati creditori sono privilegiati di fatto (cfr. Pierre-Robert Gilliéron in JdT 1989 II 9)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Siffatto indirizzo giurisprudenziale concretizza l’intento del legislatore di lasciare all’escusso e alla sua famiglia quanto è assolutamente indispensabile ex art. 92 e 93 LEF per soddisfare i bisogni più elementari. E` di tutta evidenza che i versamenti  prospettati dalla reclamante per il pagamento delle imposte arretrate, così come per il rimborso dei suoi debiti al __________ (Fr. 200.-- al mese) ed a due altri creditori (Fr. 300.-- al mese a ciascuno per affitti arretrati) non possono entrare in linea di conto per il calcolo del minimo vitale: alla luce dei principi giurisprudenziali richiamati, nulla giustifica il privilegio che la debitrice pretende sia concesso all’Autorità fiscale, così come al __________ ed a due precedenti locatori. Abbondanzialmente si annota altresì che non vi sarebbe poi alcuna garanzia che gli importi di cui si chiede la deduzione vengano effettivamente versati ai citati creditori.</w:t>
      </w:r>
    </w:p>
    <w:p>
      <w:r>
        <w:rPr>
          <w:b/>
        </w:rPr>
        <w:t>E. 5</w:t>
      </w:r>
    </w:p>
    <w:p>
      <w:r>
        <w:t>Il minimo di esistenza di __________ è calcolato pertanto come segue: Introito Fr. 4’000.-- Minimo di esistenza - minimo base                 Fr. 1’025.-- - figlia minorenne            Fr.    500.-- - locazione                      Fr. 1’600.-- - C.M., ass. inf., disocc., C.P.                 Fr.     260.-- - pasti debitrice               Fr.     180.-- - pasti, trasferta e - materiale scolastico figlia  minorenne           Fr.      360.-- - trasferta debitrice         Fr.      130.-- Totale Fr.   4’055.--                Fr. 4’000.-- Nessuna eccedenza pignorabile.</w:t>
      </w:r>
    </w:p>
    <w:p>
      <w:r>
        <w:rPr>
          <w:b/>
        </w:rPr>
        <w:t>E. 6</w:t>
      </w:r>
    </w:p>
    <w:p>
      <w:r>
        <w:t>Il reclamo di __________ va di conseguenza accolto. Non si prelevano spese (art. 67 cpv. 2 OTLEF) e non si assegnano indennità (art. 68 cpv. 2 OTLEF). Per i quali motivi, richiamati gli art. 17 e 93 LEF pronuncia 1. Il reclamo 23 novembre 1994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