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14.2025.33 vom 6. August 2025</w:t>
      </w:r>
    </w:p>
    <w:p>
      <w:r>
        <w:t>TI Tribunale d'appello, 2025-08-06, IT</w:t>
      </w:r>
    </w:p>
    <w:p>
      <w:r>
        <w:rPr>
          <w:b/>
        </w:rPr>
        <w:t xml:space="preserve">Quelle: </w:t>
      </w:r>
      <w:r>
        <w:t>https://mcp.opencaselaw.ch/entscheid/ti_gerichte_14.2025.33</w:t>
      </w:r>
    </w:p>
    <w:p>
      <w:r>
        <w:t>FR: TI_GERICHTE 14.2025.33 du 6 août 2025</w:t>
      </w:r>
    </w:p>
    <w:p>
      <w:r>
        <w:t>IT: TI_GERICHTE 14.2025.33 del 6 agosto 2025</w:t>
      </w:r>
    </w:p>
    <w:p>
      <w:pPr>
        <w:pStyle w:val="Heading2"/>
      </w:pPr>
      <w:r>
        <w:t>Regeste</w:t>
      </w:r>
    </w:p>
    <w:p>
      <w:r>
        <w:t>Rigetto provvisorio dell’opposizione. Perenzione del termine per presentare la domanda di continuazione (perenzione dell’esecuzione). Ripartizione delle spese giudiziarie secondo equità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Notificazione a: –  avv. PA 1, __________, __________, __________; –  avv. PA 2, __________, __________, __________. Comunicazione al: –  Pretura del Distretto di Lugano, sezione 5; –  Ufficio di esecuzione, Lugano (con riferimento al consid. 1.3.2). Per la Camera di esecuzione e fallimenti del Tribunale d’appello La presidente                                                          Il cancelliere Rimedi giuridici Contro la presente decisione è possibile presentare ricorso in materia civile (art. 72 cpv. 2 lett. a LTF) al Tribunale federale, 1000 Losanna 14, entro 30 giorni dalla notificazione (art. 100 cpv. 1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