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14.2024.67 vom 24. Juni 2024</w:t>
      </w:r>
    </w:p>
    <w:p>
      <w:r>
        <w:t>TI Tribunale d'appello, 2024-06-24, IT</w:t>
      </w:r>
    </w:p>
    <w:p>
      <w:r>
        <w:rPr>
          <w:b/>
        </w:rPr>
        <w:t xml:space="preserve">Quelle: </w:t>
      </w:r>
      <w:r>
        <w:t>https://mcp.opencaselaw.ch/entscheid/ti_gerichte_14.2024.67</w:t>
      </w:r>
    </w:p>
    <w:p>
      <w:r>
        <w:t>FR: TI_GERICHTE 14.2024.67 du 24 juin 2024</w:t>
      </w:r>
    </w:p>
    <w:p>
      <w:r>
        <w:t>IT: TI_GERICHTE 14.2024.67 del 24 giugno 2024</w:t>
      </w:r>
    </w:p>
    <w:p>
      <w:pPr>
        <w:pStyle w:val="Heading2"/>
      </w:pPr>
      <w:r>
        <w:t>Regeste</w:t>
      </w:r>
    </w:p>
    <w:p>
      <w:r>
        <w:t>Fallimento senza preventiva esecuzione. Sospensione dei pagamenti. Pagamenti effettuati dopo l’istanza per una somma inferiore a quella delle nuove esecuzione. Insufficiente motivazione del reclamo</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460 consid. 3.4.1; sentenze del Tribunale federale 5A_707/2015 del 5 gennaio 2016 consid. 5.1 e 5A_14/2011 [citata sopra al consid. 2], consid. 3.1, con rimandi).</w:t>
      </w:r>
    </w:p>
    <w:p>
      <w:r>
        <w:rPr>
          <w:b/>
        </w:rPr>
        <w:t>E. 2.2</w:t>
      </w:r>
    </w:p>
    <w:p>
      <w:r>
        <w:t>Nel caso in esame, la reclamante ribadisce i motivi già esposti in prima sede a sostegno del fatto che avrebbe ripreso a pagare i suoi debiti nel senso dell’art. 190 cpv. 1 n. 2 LEF, avendo versato all’istante circa fr. 15'000.– (su fr. 63'858.40) dopo la presentazio­ne dell’istanza. Omette però di confrontarsi con la motivazione del Pretore, secondo cui essa non ha pagato i suoi altri debiti, i quali sul piano esecutivo sono anzi sensibilmente aumentati (di oltre fr. 11'000.–, di cui più di fr. 4'000.– sono riferiti a nuovi attestati di carenza di beni). Ora, secondo la giurisprudenza la sospensione dei pagamenti va ammessa anche se non verte su tutti i debiti del convenuto, bensì solo su una parte essenziale delle sue attività commerciali o su una determinata categoria di debiti (sentenza della CEF 14.2022.167 del 6 marzo 2023, RtiD 2023 II 741 n. 51c, consid. 2.1 e 2.4 con i rinvii), in particolare i debiti di diritto pubblico come nella fattispecie. Insufficientemente motivato, il reclamo è irricevibile.</w:t>
      </w:r>
    </w:p>
    <w:p>
      <w:r>
        <w:rPr>
          <w:b/>
        </w:rPr>
        <w:t>E. 2.3</w:t>
      </w:r>
    </w:p>
    <w:p>
      <w:r>
        <w:t>La reclamante è del parere che siccome l’istante le aveva notificato una comminatoria di fallimento, non poteva poi cambiare idea e iniziare una procedura di fallimento senza preventiva esecuzio­ne dopo il pagamento dell’esecuzione, sicché il Pretore la doveva considerare irricevibile. Neppure al riguardo, tuttavia, la reclaman­te si misura con la motivazione della decisione impugnata (consid. 6 i.f.) né indica il motivo della sua conclusione, che non si può ap­parentemente fondare sulla legge, la quale mette a disposizione dei creditori le vie esecutive ordinaria e senza preventiva esecuzione senza prescrivere motivi di esclusione o di precedenza di u n tipo rispetto all’altro, se non allo stadio dell’esecuzione della de­cisione di fallimento (art. 55 LEF). Anche su questo punto il reclamo è irricevibile.</w:t>
      </w:r>
    </w:p>
    <w:p>
      <w:r>
        <w:rPr>
          <w:b/>
        </w:rPr>
        <w:t>E. 2.4</w:t>
      </w:r>
    </w:p>
    <w:p>
      <w:r>
        <w:t>Sono senza rilievo per l’applicazione dell’art. 190 cpv. 2 n. 1 LEF le misure di ristrutturazione adottate dalla reclamante (riduzione della massa salariale) e il preteso impegno formale del socio gerente di mettere a disposizione della società l’utile della prospettata vendita di un suo immobile, poiché è determinante unicamen­te l’esistenza di una sospensione, totale o parziale, dei pagamenti al momento del giudizio di prima sede, senza riguardo a circostan­ze future che potrebbero consentire al convenuto di riprendere a pagare i suoi debiti.</w:t>
      </w:r>
    </w:p>
    <w:p>
      <w:r>
        <w:rPr>
          <w:b/>
        </w:rPr>
        <w:t>E. 2.5</w:t>
      </w:r>
    </w:p>
    <w:p>
      <w:r>
        <w:t>Nella limitata misura in cui è ricevibile, il reclamo va pertanto respinto.</w:t>
      </w:r>
    </w:p>
    <w:p>
      <w:r>
        <w:rPr>
          <w:b/>
        </w:rPr>
        <w:t>E. 3</w:t>
      </w:r>
    </w:p>
    <w:p>
      <w:r>
        <w:t>Notificazione a: –     ; –    ; –  Ufficio d’esecuzione, Lugano; –  Ufficio dei fallimenti, Viganello. Comunicazione alla Pretura del Distretto di Lugano, sezione 5.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