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14.2024.37 vom 24. Juni 2024</w:t>
      </w:r>
    </w:p>
    <w:p>
      <w:r>
        <w:t>TI Tribunale d'appello, 2024-06-24, IT</w:t>
      </w:r>
    </w:p>
    <w:p>
      <w:r>
        <w:rPr>
          <w:b/>
        </w:rPr>
        <w:t xml:space="preserve">Quelle: </w:t>
      </w:r>
      <w:r>
        <w:t>https://mcp.opencaselaw.ch/entscheid/ti_gerichte_14.2024.37</w:t>
      </w:r>
    </w:p>
    <w:p>
      <w:r>
        <w:t>FR: TI_GERICHTE 14.2024.37 du 24 juin 2024</w:t>
      </w:r>
    </w:p>
    <w:p>
      <w:r>
        <w:t>IT: TI_GERICHTE 14.2024.37 del 24 giugno 2024</w:t>
      </w:r>
    </w:p>
    <w:p>
      <w:pPr>
        <w:pStyle w:val="Heading2"/>
      </w:pPr>
      <w:r>
        <w:t>Regeste</w:t>
      </w:r>
    </w:p>
    <w:p>
      <w:r>
        <w:t>Rifiuto di sequestro. (In)verosimile esistenza in Svizzera di beni appartenenti al debitore</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232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636 consid. 4.3.2), a questo stadio senza contraddittorio (per garantire l’effetto sorpresa). Ciò vale anche per la giurisdizione cantonale superiore, che non agisce d’ufficio (art. 58 cpv. 2 CPC) e decide unicamente in base ai fatti allegati (art. 55 cpv. 1 CPC) e resi verosimili, salvo che siano notori (art. 150 cpv. 1, 151 e 254 CPC; citata 14.2020.137 consid. 2, e sentenza della CEF 14.2011.113 dell ’8 settembre 2011 , consid. 6.5 ) .</w:t>
      </w:r>
    </w:p>
    <w:p>
      <w:r>
        <w:rPr>
          <w:b/>
        </w:rPr>
        <w:t>E. 3</w:t>
      </w:r>
    </w:p>
    <w:p>
      <w:r>
        <w:t>Nella decisione impugnata, il Pretore ha respinto l’istanza di sequestro poiché ha giudicato inadempiuto sia il presupposto della (verosimile) esistenza di un credito nei confronti del debitore, sia quello della (verosimile) esistenza di suoi beni in Svizzera. A proposito di quest’ultimo, ha infatti rilevato che la RE 1 aveva sì menzionato l’esistenza di un conto bancario intestato alla CO 1 presso PI 1, ma senza produrne un riscontro oggettivo.</w:t>
      </w:r>
    </w:p>
    <w:p>
      <w:r>
        <w:rPr>
          <w:b/>
        </w:rPr>
        <w:t>E. 4</w:t>
      </w:r>
    </w:p>
    <w:p>
      <w:r>
        <w:t>Circa il (secondo) presupposto testé menzionato, nel reclamo la RE 1 ritiene incomprensibile “come il Pretore possa mettere in dubbio l’esistenza del conto […] , questo era espressa-mente utilizzato per i pagamenti delle fatture […] . Il fatto di indicare in maniera precisa il numero di conto corrente non può certo essere ritenut o non sufficiente a corroborare l’esistenza dello stesso” . Chie­ de pertanto l’annullamento della decisione impugnata e l’accogli­mento dell’istanza di sequestro.</w:t>
      </w:r>
    </w:p>
    <w:p>
      <w:r>
        <w:rPr>
          <w:b/>
        </w:rPr>
        <w:t>E. 4.1</w:t>
      </w:r>
    </w:p>
    <w:p>
      <w:r>
        <w:t>Sennonché, così facendo, la reclamante dimentica che l’esistenza dei tre presupposti del sequestro – tra cui quello dell’esistenza in Svizzera di beni del debitore (art. 271 cpv. 1 n. 3 LEF) – dev’es­sere resa (almeno) verosimile dal creditore che intende ottenere il provvedimento supercautelare (art. 272 cpv. 1 LEF) mediante la produzione d’indizi oggettivi, di norma documentali (art. 254 cpv. 1 CPC; DTF 138 III 636 consid. 4.3 pag. 639), sufficienti a costituire un “inizio di prova” (sopra consid. 2). Non gli basta dunque limitarsi a “indicare in maniera precisa” uno o più beni del debitore, poiché con l’esigenza di rendere verosimile l’appartenenza al debitore dei beni da sequestrare il legislatore ha voluto ostacolare “gli infondati sequestri generici e investigativi” (FF 1991 I 119 ad 208.2), ovvero l’uso dell’istituto del sequestro per pescare alla cie­ca informazioni su ipotetici beni del debitore di cui il creditore non ha già c onoscenza (una sorta di fishing expedition ). Per evitare il rischio di sequestri puramente esplorativi (cosiddetti "Sucharreste" ) di conti bancari, la giurisprudenza esige quindi dal sequestrante che renda verosimile, mediante documenti, l’esistenza di almeno una relazione del debitore presso la banca indicata (sentenza del­la CEF 14.2015.112 del 25 agosto 2015, consid. 7 con rinvii).</w:t>
      </w:r>
    </w:p>
    <w:p>
      <w:r>
        <w:rPr>
          <w:b/>
        </w:rPr>
        <w:t>E. 4.2</w:t>
      </w:r>
    </w:p>
    <w:p>
      <w:r>
        <w:t>Nella fattispecie la reclamante avrebbe quindi dovuto produrre, già in prima sede – ad esempio – un estratto del proprio conto (o di un terzo) indicante un bonifico eseguito dalla CO 1 con l’asserita relazione bancaria presso PI 1 per pagare fatture a suo carico oppure una fattura emessa dalla CO 1 con l’indicazione del conto sul quale pagarla. Siccome la reclamante non ha prodotto alcun documento al riguardo, la decisione impugnata risulta corretta laddove il Pretore ha ritenuto inadempiuto il terzo presupposto necessario all’ammissione dell’istanza di sequestro (art. 272 cpv. 1 n. 3 LEF) . I l reclamo va di conseguenza respinto senza necessità di esaminare la censura concernente il primo presupposto (art. 272 cpv. 1 n. 1 LEF). Ciò non impedisce alla RE 1 di presentare, se del caso, una nuova istanza di sequestro corredata con i documenti idonei a rendere verosimili i tre presupposti dell’art. 272 LEF.</w:t>
      </w:r>
    </w:p>
    <w:p>
      <w:r>
        <w:rPr>
          <w:b/>
        </w:rPr>
        <w:t>E. 5</w:t>
      </w:r>
    </w:p>
    <w:p>
      <w:r>
        <w:t>La tassa del presente giudizio, stabilita in applicazione degli art. 48 e 61 cpv. 1 OTLEF (RS 281.35), segue la soccombenza (art. 106 cpv. 1 CPC).</w:t>
      </w:r>
    </w:p>
    <w:p>
      <w:r>
        <w:rPr>
          <w:b/>
        </w:rPr>
        <w:t>E. 6</w:t>
      </w:r>
    </w:p>
    <w:p>
      <w:r>
        <w:t>Circa i rimedi esperibili sul piano federale (art. 112 cpv. 1 lett. d LTF), il valore litigioso, di fr. 297'391.79, pari alla pretesa vantata dalla reclamante, non potendosi tenere conto del criterio più corretto (DTF 139 III 195 consid. 4.3.2) del valore (ignoto) dei beni da sequestrare, supera ampiamente la soglia di fr. 30'000.– ai fini del­l’art. 74 cpv. 1 lett. b LTF.</w:t>
      </w:r>
    </w:p>
    <w:p>
      <w:r>
        <w:rPr>
          <w:b/>
        </w:rPr>
        <w:t>E. 7</w:t>
      </w:r>
    </w:p>
    <w:p>
      <w:r>
        <w:t>Per garantire l’effetto sorpresa, la presente decisione non viene notificata alla controparte. Per questi motivi, pronuncia: 1. Il reclamo è respinto. 2. Le spese processuali di complessivi fr. 800.– relative al presente giudizio sono poste a carico della reclamante. 3. Notificazione alla RE 1, c/o __________, __________, __________. Comunicazione alla Pretura della Giurisdizione di Mendrisio-Sud.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