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14.2024.175 vom 20. November 2024</w:t>
      </w:r>
    </w:p>
    <w:p>
      <w:r>
        <w:t>TI Tribunale d'appello, 2024-11-20, IT</w:t>
      </w:r>
    </w:p>
    <w:p>
      <w:r>
        <w:rPr>
          <w:b/>
        </w:rPr>
        <w:t xml:space="preserve">Quelle: </w:t>
      </w:r>
      <w:r>
        <w:t>https://mcp.opencaselaw.ch/entscheid/ti_gerichte_14.2024.175_d20241120</w:t>
      </w:r>
    </w:p>
    <w:p>
      <w:r>
        <w:t>FR: TI_GERICHTE 14.2024.175 du 20 novembre 2024</w:t>
      </w:r>
    </w:p>
    <w:p>
      <w:r>
        <w:t>IT: TI_GERICHTE 14.2024.175 del 20 novembre 2024</w:t>
      </w:r>
    </w:p>
    <w:p>
      <w:pPr>
        <w:pStyle w:val="Heading2"/>
      </w:pPr>
      <w:r>
        <w:t>Regeste</w:t>
      </w:r>
    </w:p>
    <w:p>
      <w:r>
        <w:t>Rigetto definitivo dell’opposizione. Reclamo consegnato alla posta italiana l’ultimo giorno del termine. Tardività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cpv. 2 PA]); che la dottrina è divisa sulla questione di sapere se tale giurisprudenza si applica anche in ambito civile ( pro: Abbet in: Petit commentaire CPC, 2020, n. 4 ad art. 143 CPC; contra: T appy in: Commentaire romand, Code de procédure civile, 2ª ed. 2018, n. 13 ad art. 1 CPC n. 143 CPC; non discute la questione: Benn in: Basler Kommentar, ZPO, 3 a ed. 2017, n. 9 ad art. 143 CPC ); che nelle decisioni citate sopra (del 2013 e 2018) emesse in materia civile il Tribunale federale non si è riferito a quelle emesse in ambito pubblico, mentre la CEF ha lasciato la questione aperta; che non è neppure necessario risolvere il quesito nella fattispecie in esame, siccome la decisione impugnata non è stata notificata all’estero, bensì al domicilio di RE 1 a __________; che, come per tutti gli altri destinatari di atti giudiziari in Svizzera, l’art. 143 cpv. 1 CPC va reputato noto al reclamante; che non si pongono poi i problemi evocati nella DTF 145 IV 259 (consid. 1.4.3 e 1.4.4), ovvero della necessità d’informare il destinatario sulla possibilità di consegnare il proprio ricorso all’estero presso una rappresentanza diplomatica o consolare svizzera né di preservare la parte dallo svantaggio di una notifica inadeguata della decisione; che, di conseguenza, il reclamante deve sopportare il rischio di aver scelto d’inviare il reclamo dall’estero consegnandolo l’ultimo giorno del termine d’impugnazione senza verificare se tale inusua­le modo di procedere fosse giuridicamente corretto; che, per di più, il reclamo risulta spedito da un avvocato di __________ (avv. __________, il cui timbro figura sulla busta), dal quale ci si poteva aspettare una verifica del termine d’impugnazione; che RE 1 risponde della negligenza dell’avvocato da lui scelto (anche se ha presentato e firmato il reclamo a nome proprio); che il reclamo è di conseguenza tardivo (art. 143 CPC per il rinvio dell’art. 31 LEF), ovvero inammissibile, ciò che va accertato d’uf­ficio (art. 60 CPC); che la tassa del presente giudizio, stabilita in applicazione degli art. 48 e 61 cpv. 1 OTLEF (RS 281.35), tenuto conto dell’esito del giudizio, che ha comportato un onere lavorativo limitato (cfr. sentenza della CEF 14.2021.109 del 17 febbraio 2022 consid. 6) , segue la soccombenza (art. 106 cpv. 1 CPC); che non si pone invece problema di ripetibili, la controparte, cui il reclamo non è stato notificato per osservazioni, non essendo incorsa in spese in questa sede; che, circa i rimedi esperibili sul piano federale (art. 112 cpv. 1 lett. d LTF), il valore litigioso, di fr. 4'843.41 , non raggiunge la soglia di fr. 30'000.– ai fini dell’art. 74 cpv. 1 lett. b LTF. Per questi motivi, pronuncia:              1. Il reclamo è irricevibile. 2. La tassa di giustizia del presente giudizio, di fr. 150.–, è posta a carico del reclamante. Fatta salva un’eventuale compensazione, la parte eccedente dell’anticipo da lui versato, di fr. 100.–, gli è restituita. 3. Notificazione a: –   ; –    . Comunicazione alla Giudicatura di pace del Circolo di Balerna. Per la Camera di esecuzione e fallimenti del Tribunale d’appello Il presidente                                                            La 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