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14.2024.167 vom 21. Dezember 2023</w:t>
      </w:r>
    </w:p>
    <w:p>
      <w:r>
        <w:t>TI Tribunale d'appello, 2023-12-21, IT</w:t>
      </w:r>
    </w:p>
    <w:p>
      <w:r>
        <w:rPr>
          <w:b/>
        </w:rPr>
        <w:t xml:space="preserve">Quelle: </w:t>
      </w:r>
      <w:r>
        <w:t>https://mcp.opencaselaw.ch/entscheid/ti_gerichte_14.2024.167_d20231221</w:t>
      </w:r>
    </w:p>
    <w:p>
      <w:r>
        <w:t>FR: TI_GERICHTE 14.2024.167 du 21 décembre 2023</w:t>
      </w:r>
    </w:p>
    <w:p>
      <w:r>
        <w:t>IT: TI_GERICHTE 14.2024.167 del 21 dicembre 2023</w:t>
      </w:r>
    </w:p>
    <w:p>
      <w:pPr>
        <w:pStyle w:val="Heading2"/>
      </w:pPr>
      <w:r>
        <w:t>Regeste</w:t>
      </w:r>
    </w:p>
    <w:p>
      <w:r>
        <w:t>Rigetto definitivo dell'opposizione. Opposizione al sequestro. Provisio ad litem. Compensazione</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(Urkundenpro­zess)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444, consid. 4.1.1).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deve riesaminare il caso nella sua interezza e tenere conto della situazione esisten­te al momento della decisione sull’opposizione (DTF 140 III 466 consid. 4.2.3). La sua disamina è sommaria sia in fatto che in diritto, ciò che gli lascia un c erto potere d’apprezzamento (sentenze della CEF 14.2022.138 del 9 giugno 2023 consid. 2.2 e 14.2022. 56 del 16 novembre 2022 consid. 4.4.1, massimata in RtiD 2023 II 728 n. 43c).</w:t>
      </w:r>
    </w:p>
    <w:p>
      <w:r>
        <w:rPr>
          <w:b/>
        </w:rPr>
        <w:t>E. 3</w:t>
      </w:r>
    </w:p>
    <w:p>
      <w:r>
        <w:t>Nella decisione impugnata, il Pretore ha osservato che, secondo l a giurisprudenza federale e cantonale, RE 1 avrebbe do­vuto sollevare l’obiezione di compensazione della provisio ad litem con crediti suoi di fr. 39'443.40 (già parzialmente compensati) e fr. 3'850.– oltre agli interessi, derivanti da due sentenze del 3 apri­le e 18 agosto 2023, già nella procedura di merito in cui è stata stabilita la provisio ad litem (avviata il 25 ottobre e decisa il 21 dicembre 2023), sicché l’obiezione in questione non poteva più essere fatta valere nella procedura di rigetto in virtù dell’art. 81 LEF. Ha considerato invece valida la compensazione con la pretesa di fr. 1'500.– per ripetibili stabilite nella decisione del 21 marzo 2024, siccome sorta dopo l’avvio ( recte: fine) della procedura di emanazione della provisio ad litem , motivo per cui ha rigettato l’opposizione al precetto esecutivo limitatamente a fr. 38'500.– (in luogo di fr. 40'000.–) oltre agl’interessi. Per la medesima ragione, ha re putato il sequestro verosimile per fr. 40'000.– (anziché fr. 41'500.–), confermandolo pertanto nella corrispondente misura.</w:t>
      </w:r>
    </w:p>
    <w:p>
      <w:r>
        <w:rPr>
          <w:b/>
        </w:rPr>
        <w:t>E. 4</w:t>
      </w:r>
    </w:p>
    <w:p>
      <w:r>
        <w:t>Nel reclamo RE 1 sostiene che, contrariamente a quanto giudicato dal Pretore, nulla gl'impediva di far valere l’obiezione di compensazione dopo l'emanazione della decisione relativa alla provisio ad litem , come risulterebbe dalla decisione del Tribunale federale 5D_43/2019 del 24 maggio 2019 (consid. 5.2.1). Rileva di aver obiettato la compensazione per la prima volta solo con l'op­posizione al sequestro, il 19 febbraio 2024, di modo che il credito dell’istante si è parzialmente estinto unicamente a quel momento. Fa notare inoltre di non averlo potuto fare nella procedura di merito, poiché il suo obbligo di prestare la provisio ad litem è sorto soltanto con la decisione che l’ha stabilita, il 21 dicembre 2023. Conclude per l’accoglimento parziale dell’istanza di rigetto e il man­tenimento del sequestro limitatamente a fr. 6'455.95 e la modifica dei dispositivi sulle spese, ponendone a suo carico solo 1 ⁄</w:t>
      </w:r>
    </w:p>
    <w:p>
      <w:r>
        <w:rPr>
          <w:b/>
        </w:rPr>
        <w:t>E. 8</w:t>
      </w:r>
    </w:p>
    <w:p>
      <w:r>
        <w:t>Stante l’esito del giudizio odierno, la domanda volta al conferimen­to dell’effetto sospensivo al reclamo diventa senza oggetto.</w:t>
      </w:r>
    </w:p>
    <w:p>
      <w:r>
        <w:rPr>
          <w:b/>
        </w:rPr>
        <w:t>E. 9</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10</w:t>
      </w:r>
    </w:p>
    <w:p>
      <w:r>
        <w:t>Circa i rimedi esperibili sul piano federale (art. 112 cpv. 1 lett. d LTF), il valore litigioso, di almeno fr. 32'044.05 (38'500.– ./. 6'455.95), rag giunge la soglia di fr. 30'000.– ai fini dell’art. 74 cpv. 1 lett. b LTF. Per questi motivi, pronuncia: 1. Il reclamo è respinto. 2. Le spese processuali di complessivi fr. 500.– relative al presente giudizio, già anticipate dal reclamante, sono poste a suo carico. 3. Notificazione a: –    ; –    .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