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14.2023.8 vom 21. Juni 2023</w:t>
      </w:r>
    </w:p>
    <w:p>
      <w:r>
        <w:t>TI Tribunale d'appello, 2023-06-21, IT</w:t>
      </w:r>
    </w:p>
    <w:p>
      <w:r>
        <w:rPr>
          <w:b/>
        </w:rPr>
        <w:t xml:space="preserve">Quelle: </w:t>
      </w:r>
      <w:r>
        <w:t>https://mcp.opencaselaw.ch/entscheid/ti_gerichte_14.2023.8</w:t>
      </w:r>
    </w:p>
    <w:p>
      <w:r>
        <w:t>FR: TI_GERICHTE 14.2023.8 du 21 juin 2023</w:t>
      </w:r>
    </w:p>
    <w:p>
      <w:r>
        <w:t>IT: TI_GERICHTE 14.2023.8 del 21 giugno 2023</w:t>
      </w:r>
    </w:p>
    <w:p>
      <w:pPr>
        <w:pStyle w:val="Heading2"/>
      </w:pPr>
      <w:r>
        <w:t>Regeste</w:t>
      </w:r>
    </w:p>
    <w:p>
      <w:r>
        <w:t>Rigetto provvisorio dell’opposizione. Contratto senza firma né manuale né elettronica certificata</w:t>
      </w:r>
    </w:p>
    <w:p>
      <w:pPr>
        <w:pStyle w:val="Heading2"/>
      </w:pPr>
      <w:r>
        <w:t>Erwägungen</w:t>
      </w:r>
    </w:p>
    <w:p>
      <w:r>
        <w:rPr>
          <w:b/>
        </w:rPr>
        <w:t>E. 3</w:t>
      </w:r>
    </w:p>
    <w:p>
      <w:r>
        <w:t>Nella decisione impugnata, il Giudice di pace ha considerato che il contratto di consulenza è stato validamente sottoscritto da RA 1 in virtù della procura speciale rilasciatagli dalla RE 1 ed è sfociato nell’emissione di una fattura, che non è stata né contestata né onorata dall’escussa. Stante il valido riconoscimen­to di debito, il primo giudice ha accolto l’istanza.</w:t>
      </w:r>
    </w:p>
    <w:p>
      <w:r>
        <w:rPr>
          <w:b/>
        </w:rPr>
        <w:t>E. 4</w:t>
      </w:r>
    </w:p>
    <w:p>
      <w:r>
        <w:t>Nel reclamo la RE 1 espone che la CO 1 ha scambiato diverse e-mail con il suo collaboratore RA 1 e il 12 luglio 2022 – solo e sempre esclusivamente per e-mail non certificata – costui ha sottoscritto un facsimile di contratto, che se-condo l’accordo verbale delle parti in caso di conferma definitiva sarebbe poi stato firmato dalla sua amministratrice unica. Tuttavia – a suo dire – un’approvazione definitiva non è mai avvenuta e non è mai stato redatto e firmato il contratto in originale. Essa precisa che la procura rilasciata nel novembre 2019 è stata limitata il 25 giugno 2022. D’altronde, continua, dal 12 luglio 2022 fino ad oggi la CO 1 non ha fornito alcuna prestazione ad eccezione di una pubblicazione in internet per un valore di al mas simo fr. 200.–. In definitiva, la RE 1 chiede la reiezione dell’istan­­za e in subordine il suo accoglimento limitatamente a fr. 200.–.</w:t>
      </w:r>
    </w:p>
    <w:p>
      <w:r>
        <w:rPr>
          <w:b/>
        </w:rPr>
        <w:t>E. 5</w:t>
      </w:r>
    </w:p>
    <w:p>
      <w:r>
        <w:t>Con le osservazioni al reclamo la CO 1 sostiene che le affermazioni della controparte non poggiano su prove tangibili e rappresentano solo un mero tentativo di non adempiere al contratto. Fa valere di aver sempre svolto il proprio lavoro in modo trasparente e di avere in suo possesso la documentazione che dimostra l’adempimento del contratto, la cui consegna al cliente è però prevista solo al momento del saldo finale del prezzo. Rileva che le fatture non sono mai state contestate né telefonicamente né per iscritto. Precisa infine che la procura era valida ed evidenzia che “guarda caso” la reclamante afferma che solo il 25 giugno 2022, ossia proprio poco prima della firma del contratto, la procura sarebbe stata modificata.</w:t>
      </w:r>
    </w:p>
    <w:p>
      <w:r>
        <w:rPr>
          <w:b/>
        </w:rPr>
        <w:t>E. 6</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 DTF 147 III 178 consid. 4.2.1) .</w:t>
      </w:r>
    </w:p>
    <w:p>
      <w:r>
        <w:rPr>
          <w:b/>
        </w:rPr>
        <w:t>E. 6.1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debito determinata, o facilmente determinabile, ed esigibile (DTF 139 III 301 consid. 2.3.1 con rimandi). Giusta l’art. 14 cpv. 1 CO la firma dev’essere apposta di propria mano (sentenza della CEF 14.2018.96 del 18 luglio 2018 consid. 5 con rinvii) oppure deve recare la firma manoscritta elettronica qualificata nel senso dell’art. 14 cpv. 1 e 1 bis CO (sentenze della CEF 14.2019.232 del 29 aprile 2020 consid. 5 con rinvii).</w:t>
      </w:r>
    </w:p>
    <w:p>
      <w:r>
        <w:rPr>
          <w:b/>
        </w:rPr>
        <w:t>E. 6.2</w:t>
      </w:r>
    </w:p>
    <w:p>
      <w:r>
        <w:t>Nella fattispecie, a prescindere dalla questione della validità della procura, rimane il fatto che sul contratto di consulenza non figura alcuna firma manoscritta ( art. 14 cpv. 1 CO) o elettronica qualifi-cata (art. 14 cpv. 1 e 1 bis CO). È infatti pacifico che il contratto è stato prodotto solo in fotocopia o sotto forma di allegato a un’e-mail stampato (doc. A). Nemmeno con la replica di prima sede la CO 1 ha contestato l’allegazione della RE 1 contenuta nelle osservazioni all’istanza, secondo cui il contratto è stato trasmesso unicamente per e-mail con una firma “non originale” . Le allegazioni di fatto non contestate sono da tenere per appurate (art. 150 cpv. 1 CPC a contrario ). Non era necessaria alcuna “pro­va tangibile” al riguardo come invece affermato nelle osservazioni al reclamo. Già solo per questo motivo il contratto prodotto non po­teva quindi costituire un valido titolo di rigetto provvisorio dell’op­posizione e l’istanza andava respinta. Ne segue che gli altri argomenti sollevati con le osservazioni al reclamo sono privi di pertinenza. Il reclamo merita quindi accoglimento. Ciò non osta a che la reclamante, se del caso, faccia valere le sue ragioni in procedura ordinaria (sopra consid. 2).</w:t>
      </w:r>
    </w:p>
    <w:p>
      <w:r>
        <w:rPr>
          <w:b/>
        </w:rPr>
        <w:t>E. 7</w:t>
      </w:r>
    </w:p>
    <w:p>
      <w:r>
        <w:t>In entrambe le sedi la tassa, stabilita in applicazione degli art. 48 e 61 cpv. 1 OTLEF (RS 281.35), la soccombenza (art. 106 cpv. 1 CPC). Non si pone invece problema d’indennità, la RE 1 non avendo formulato alcuna richiesta motivata al riguardo (art. 95 cpv. 3 lett. c CPC).</w:t>
      </w:r>
    </w:p>
    <w:p>
      <w:r>
        <w:rPr>
          <w:b/>
        </w:rPr>
        <w:t>E. 8</w:t>
      </w:r>
    </w:p>
    <w:p>
      <w:r>
        <w:t>Circa i rimedi esperibili sul piano federale (art. 112 cpv. 1 lett. d LTF), il valore litigioso, di fr. 3'836.46, non raggiunge la soglia di fr. 30'000.– ai fini dell’art. 74 cpv. 1 lett. b LTF. Per questi motivi, pronuncia: 1. Il reclamo è accolto e di conseguenza i dispositivi n. 1 e 2 della decisione impugnata sono così riformati: “1.  L’istanza è respinta. 2.  Le spese processuali di complessivi fr. 225.– sono poste a carico dell’istante.” 2. Le spese processuali di complessivi fr. 250.– relative al presente giudizio, già anticipate dalla reclamante, sono poste a carico della CO 1. 3. Notificazione a: –   ; –  . Comunicazione alla Giudicatura di pace del Circolo di Mendrisio.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