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14.2023.69 vom 11. Juli 2023</w:t>
      </w:r>
    </w:p>
    <w:p>
      <w:r>
        <w:t>TI Tribunale d'appello, 2023-07-11, IT</w:t>
      </w:r>
    </w:p>
    <w:p>
      <w:r>
        <w:rPr>
          <w:b/>
        </w:rPr>
        <w:t xml:space="preserve">Quelle: </w:t>
      </w:r>
      <w:r>
        <w:t>https://mcp.opencaselaw.ch/entscheid/ti_gerichte_14.2023.69</w:t>
      </w:r>
    </w:p>
    <w:p>
      <w:r>
        <w:t>FR: TI_GERICHTE 14.2023.69 du 11 juillet 2023</w:t>
      </w:r>
    </w:p>
    <w:p>
      <w:r>
        <w:t>IT: TI_GERICHTE 14.2023.69 del 11 luglio 2023</w:t>
      </w:r>
    </w:p>
    <w:p>
      <w:pPr>
        <w:pStyle w:val="Heading2"/>
      </w:pPr>
      <w:r>
        <w:t>Regeste</w:t>
      </w:r>
    </w:p>
    <w:p>
      <w:r>
        <w:t>Rigetto definitivo dell’opposizione. Sentenza estera appellata. Richiesta di sospensione dell’effettività respinta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ha escusso la RE 1 per l’incasso di fr. 161'062.– oltre agli interessi del 5% dal 2 gennaio 2023, indicando quale causa del credito: “Convalida del sequestro n. __________. È riconosciuta esecutiva in Svizzera la sentenza n. __________/2022 del 24 novembre 2022, pub­blicata il 12 dicembre 2022 dal Tribunale di Milano – Sezione specializzata in materia d’impresa – Sezione XV (RG n. __________)” ; che avendo la RE 1 interposto opposizione al precetto esecutivo, CO 1 ne ha chiesto il rigetto definitivo alla Pretura del Distretto di Lugano, sezione 5, con istanza del 6 marzo 2023, cui l’escussa si è opposta con osservazioni del 18 marzo, alle quali l’istante ha replicato spontaneamente il 27 marzo 2023; che statuendo con decisione del 5 giugno 2023, il Pretore ha accolto l’istanza e rigettato in via definitiva l’opposizione interposta dalla convenuta, ponendo a suo carico le spese processuali di fr. 500.– e un’indennità di fr. 2'000.– a favore dell’istante; che contro la sentenza appena citata la RE 1 è insorta a questa Camera con un reclamo del 19 giugno 2023 per ottenerne l’annullamento, protestate spese e ripetibili; che la sentenza impugnata – emanata in materia di rigetto dell’op­posizione – è una decisione di prima istanza finale e inappellabile (art. 309 lett. b n.</w:t>
      </w:r>
    </w:p>
    <w:p>
      <w:r>
        <w:rPr>
          <w:b/>
        </w:rPr>
        <w:t>E. 3</w:t>
      </w:r>
    </w:p>
    <w:p>
      <w:r>
        <w:t>Notificazione a: – ; – . Comunicazione alla Pretura del Distretto di Lugano, sezione 5. Per la Camera di esecuzione e fallimenti del Tribunale d’appello Il presidente                                                            La vicecancelliera Rimedi giuridici Contro la presente decisione è possibile presentare ricorso in materia civile (art. 72 cpv. 2 lett. a LTF) al Tribunale federale, 1000 Losanna 14, entro 30 giorni dalla notificazione (art. 100 cpv. 1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