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14.2023.145 vom 24. Juli 2023</w:t>
      </w:r>
    </w:p>
    <w:p>
      <w:r>
        <w:t>TI Tribunale d'appello, 2023-07-24, IT</w:t>
      </w:r>
    </w:p>
    <w:p>
      <w:r>
        <w:rPr>
          <w:b/>
        </w:rPr>
        <w:t xml:space="preserve">Quelle: </w:t>
      </w:r>
      <w:r>
        <w:t>https://mcp.opencaselaw.ch/entscheid/ti_gerichte_14.2023.145_d20230724</w:t>
      </w:r>
    </w:p>
    <w:p>
      <w:r>
        <w:t>FR: TI_GERICHTE 14.2023.145 du 24 juillet 2023</w:t>
      </w:r>
    </w:p>
    <w:p>
      <w:r>
        <w:t>IT: TI_GERICHTE 14.2023.145 del 24 luglio 2023</w:t>
      </w:r>
    </w:p>
    <w:p>
      <w:pPr>
        <w:pStyle w:val="Heading2"/>
      </w:pPr>
      <w:r>
        <w:t>Regeste</w:t>
      </w:r>
    </w:p>
    <w:p>
      <w:r>
        <w:t>Rigetto definitivo dell’opposizione. Carente motivazione della sentenza impugnata, notificata oltretutto al convenuto con la replica. Rinvio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    ; –    . Comunicazione alla Giudicatura di pace del Circolo della Verzasca. Per la Camera di esecuzione e fallimenti del Tribunale d’appello Il presidente                                                            La cancelliera Rimedi giuridici Contro la presente decisione è possibile presentare ricorso in materia civile (art. 72 cpv. 2 lett. a LTF) al Tribunale federale, 1000 Losanna 14, entro 30 giorni dalla notificazione (art. 100 cpv. 1 LTF) solo se la controversia concerne “una questione di diritto di importanza fondamentale” (art. 74 cpv. 2 LTF). Laddove tale presupposto non sia adempiuto è dato, entro lo stesso termine, il ricorso sussidiario in materia costituzionale al Tribunale federale per i motivi previsti dall’art. 116 LTF (art. 113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