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14.2022.158 vom 26. April 2023</w:t>
      </w:r>
    </w:p>
    <w:p>
      <w:r>
        <w:t>TI Tribunale d'appello, 2023-04-26, IT</w:t>
      </w:r>
    </w:p>
    <w:p>
      <w:r>
        <w:rPr>
          <w:b/>
        </w:rPr>
        <w:t xml:space="preserve">Quelle: </w:t>
      </w:r>
      <w:r>
        <w:t>https://mcp.opencaselaw.ch/entscheid/ti_gerichte_14.2022.158</w:t>
      </w:r>
    </w:p>
    <w:p>
      <w:r>
        <w:t>FR: TI_GERICHTE 14.2022.158 du 26 avril 2023</w:t>
      </w:r>
    </w:p>
    <w:p>
      <w:r>
        <w:t>IT: TI_GERICHTE 14.2022.158 del 26 aprile 2023</w:t>
      </w:r>
    </w:p>
    <w:p>
      <w:pPr>
        <w:pStyle w:val="Heading2"/>
      </w:pPr>
      <w:r>
        <w:t>Regeste</w:t>
      </w:r>
    </w:p>
    <w:p>
      <w:r>
        <w:t>Rigetto provvisorio dell’opposizione. Attestato di carenza beni dopo pignoramento. Prescrizione del credito posto in esecuzione. Ripetibili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CPC), contro cui è dato il rimedio del reclamo (art. 319 lett. a CPC) alla Camera di esecuzione e fallimenti (CEF) del Tribunale d’appello (art. 48 lett. e n. 1 LOG) senza riguardo al valore litigioso; che, pronunciata in procedura sommaria (art. 251 lett. a CPC), la decisione è impugnabile entro dieci giorni dalla notificazione (art. 321 cpv. 2 CPC); che, notificata in concreto alla RE 1 il 29 novembre 2022, il termine d’impugnazione della decisione è scaduto venerdì 9 dicembre 2022, sicché, presentato due giorni prima (data del timbro postale), il reclamo è tempestivo; che in virtù dell’art. 82 LEF, il giudice pronuncia il rigetto provvisorio dell’opposizione ove il credito posto in esecuzione sia fondato su un riconoscimento di debito constatato mediante atto pubblico o scrittura privata (cpv. 1), a meno che l’escusso sollevi e giustifichi immediatamente eccezioni tali da infirmare il riconoscimento di debito (cpv. 2); che n ella decisione impugnata, la Giudice di pace ha respinto l’i­­stanza giudicando prescritto il credito posto in esecuzione; che nel reclamo, in sostanza, la RE 1 lamenta un’er­­rata applicazione del diritto, nel senso che la Giudice di pace non avrebbe dovuto rilevare d’ufficio l’intervenuta prescrizione del credito posto in esecuzione, CO 1 non avendo infatti detto alcunché in proposito, e chiede pertanto di riformare la decisione nel senso dell’accoglimento dell’istanza; che secondo l’art. 142 CO il giudice non può supplire, ossia non può rilevare d’ufficio l’intervenuta prescrizione di un credito; che, per soprammercato, giusta il chiaro tenore dell’art. 82 cpv. 2 LEF incombe all’escusso sollevare e rendere verosimile le eccezioni che infirmano il riconoscimento di debito, segnatamente la prescrizione; che la Giudice di pace ha pertanto violato il diritto federale accertando d’ufficio l’avvenuta prescrizione del credito posto in esecuzione nonostante il convenuto non l’avesse eccepita (cfr. senten­za della CEF 14.2018.151 del 28 febbraio 2018 consid. 6.1); che giusta l’art. 149 cpv. 2 LEF l’attestato di carenza beni dopo pignoramento, su cui si fonda l’istanza, costituisce pacificamente un riconoscimento di debito nel senso dell’art. 82 cpv. 2 LEF, e dunque un valido titolo di rigetto provvisorio dell’opposizione nei confronti di CO 1 per fr. 4'136.70; che il reclamo merita pertanto accoglimento e la decisione impugnata va riformata nel senso del rigetto provvisorio dell’opposi­­zione interposta dall’escusso; che in entrambe le sedi le tasse di giustizia, stabilite in applicazione degli art. 48 e 61 cpv. 1 OTLEF (RS 281.35) , seguono la soccombenza (art. 106 cpv. 1 CPC); che la reclamante ha chiesto l’assegnazione di ripetibili solo in seconda sede; ch’essa non ha però ricorso per il tramite di un rappresentante professionale in giudizio, bensì di dipendenti del proprio servizio giuridico, e non ha pertanto diritto a ripetibili nel senso dell’art. 95 cpv. 3 lett. b CPC, seppure uno dei due firmatari abbia il titolo di avvocato (sentenza della CEF 14.2021.19 del 9 dicembre 2021 consid. 6; S toudmann in: Commentaire romand, Code de procé­dure civile, 2 a ed. 2018, n. 24 ad art. 95 CPC; Rüegg/Rüegg in: Basler Kommentar, ZPO, 3 a ed. 2017, n. 18 ad art. 95 CPC con un rinvio alla sentenza del Tribunale federale 1C_198/2007 del 21 di­cembre 2007 consid. 6 relativa all’art. 68 cpv. 2 LTF ) ; che in assenza di motivazione, la reclamante non ha diritto neppure a un’indennità d’inconvenienza giusta l’art. 95 cpv. 3 lett. c CPC; che c irca i rimedi esperibili sul piano federale (art. 112 cpv. 1 lett. d LTF), il valore litigioso, di fr. 4'136.70, non raggiunge la soglia di fr. 30'000.– ai fini dell’art. 74 cpv. 1 lett. b LTF; Per questi motivi,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