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14.2022.111 vom 13. Januar 2023</w:t>
      </w:r>
    </w:p>
    <w:p>
      <w:r>
        <w:t>TI Tribunale d'appello, 2023-01-13, IT</w:t>
      </w:r>
    </w:p>
    <w:p>
      <w:r>
        <w:rPr>
          <w:b/>
        </w:rPr>
        <w:t xml:space="preserve">Quelle: </w:t>
      </w:r>
      <w:r>
        <w:t>https://mcp.opencaselaw.ch/entscheid/ti_gerichte_14.2022.111</w:t>
      </w:r>
    </w:p>
    <w:p>
      <w:r>
        <w:t>FR: TI_GERICHTE 14.2022.111 du 13 janvier 2023</w:t>
      </w:r>
    </w:p>
    <w:p>
      <w:r>
        <w:t>IT: TI_GERICHTE 14.2022.111 del 13 gennaio 2023</w:t>
      </w:r>
    </w:p>
    <w:p>
      <w:pPr>
        <w:pStyle w:val="Heading2"/>
      </w:pPr>
      <w:r>
        <w:t>Regeste</w:t>
      </w:r>
    </w:p>
    <w:p>
      <w:r>
        <w:t>Rigetto definitivo dell’opposizione. Reclamo insufficientemente motivato. Possibilità di presentare nella stessa esecuzione una nuova istanza di rigetto dopo la reiezione di una precedente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  ; –   ; –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