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14.2021.89 vom 29. Januar 2019</w:t>
      </w:r>
    </w:p>
    <w:p>
      <w:r>
        <w:t>TI Tribunale d'appello, 2019-01-29, IT</w:t>
      </w:r>
    </w:p>
    <w:p>
      <w:r>
        <w:rPr>
          <w:b/>
        </w:rPr>
        <w:t xml:space="preserve">Quelle: </w:t>
      </w:r>
      <w:r>
        <w:t>https://mcp.opencaselaw.ch/entscheid/ti_gerichte_14.2021.89_d20190129</w:t>
      </w:r>
    </w:p>
    <w:p>
      <w:r>
        <w:t>FR: TI_GERICHTE 14.2021.89 du 29 janvier 2019</w:t>
      </w:r>
    </w:p>
    <w:p>
      <w:r>
        <w:t>IT: TI_GERICHTE 14.2021.89 del 29 gennaio 2019</w:t>
      </w:r>
    </w:p>
    <w:p>
      <w:pPr>
        <w:pStyle w:val="Heading2"/>
      </w:pPr>
      <w:r>
        <w:t>Regeste</w:t>
      </w:r>
    </w:p>
    <w:p>
      <w:r>
        <w:t>Opposizione al sequestro. Ricusazione. Cognizione della CEF. Esigenze di motivazione del reclamo. Conseguenze della negazione al sequestrante della qualità di accusatore privato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settembre 2016, consid. 1.1 con rinvii, 1B_326/2016 del 29 settembre 2016 consid. 3.5 e 5.3, 4A_593/2016 del 16 gennaio 2017 consid. 3.2 , 4D_19/2017 del 4 aprile 2017 consid. 4 e 1B_208/2017 del 2 giugno 2017 consid. 1.3, 1.4 e 2 ; della CEF 15.2016.104 del</w:t>
      </w:r>
    </w:p>
    <w:p>
      <w:r>
        <w:rPr>
          <w:b/>
        </w:rPr>
        <w:t>E. 9</w:t>
      </w:r>
    </w:p>
    <w:p>
      <w:r>
        <w:t>La reclamante solleva infine l’eccezione di falso formale e materiale circa le due sentenze del 22 dicembre 2020, con cui il Tribunale federale ha respinto i suoi ricorsi contro le decisioni di questa Camera del 12 luglio e 18 settembre 2019 (sopra ad F). Asserisce ch’esse sono state falsificate con firma autografa che non appartiene al presidente Christian Herrmann e hanno tratto in errore il Pretore in punto all’accertamento della giurisdizione di questa Camera e della Pretura. A prescindere dal fatto che la reclamante non porta ovviamente alcun indizio a sostegno delle sue allegazioni strampalate – come ad esempio una semplice dichiarazione del Tribunale federale –, comunque sia non ne deduce alcuna con­clusione concreta, dal momento che si limita a postulare la riforma della sentenza impugnata. La censura è di conseguenza inammissibile.</w:t>
      </w:r>
    </w:p>
    <w:p>
      <w:r>
        <w:rPr>
          <w:b/>
        </w:rPr>
        <w:t>E. 10</w:t>
      </w:r>
    </w:p>
    <w:p>
      <w:r>
        <w:t>La reclamante è già stata richiamata più volte in ragione del suo contegno gravemente oltraggioso e sconveniente verso l’autorità e le controparti, senza sortire esiti durevoli (v. in ultimo luogo la sentenza 15.2021.109 del 14 gennaio 2022 consid. 5 e i rinvii). Non bastando più i richiami al rispetto delle convenienze, RI 1 è nuovamente avvertita che in futuro i suoi atti processuali le verranno rinviati senz’altra formalità ove conterranno improperi verso autorità o controparti. Spese e ripetibili, rimedi giuridici</w:t>
      </w:r>
    </w:p>
    <w:p>
      <w:r>
        <w:rPr>
          <w:b/>
        </w:rPr>
        <w:t>E. 11</w:t>
      </w:r>
    </w:p>
    <w:p>
      <w:r>
        <w:t>In entrambe le sedi le tasse, stabilite in applicazione degli art. 48 e 61 cpv. 1 OTLEF (RS 281.35), come le ripetibili, determinate in virtù dell’art. 11 cpv. 1-2 RTar ( RL 178.310 ) per il rinvio del l’art. 96 CPC, seguono la soccombenza (art. 106 cpv. 1 CPC).</w:t>
      </w:r>
    </w:p>
    <w:p>
      <w:r>
        <w:rPr>
          <w:b/>
        </w:rPr>
        <w:t>E. 12</w:t>
      </w:r>
    </w:p>
    <w:p>
      <w:r>
        <w:t>Circa i rimedi esperibili sul piano federale (art. 112 cpv. 1 lett. d LTF), il valore litigioso, di fr. 1'512'842.10 nella procedura avviata da RE 1 e di fr. 51'057.20 in quella introdotta da CO 1, raggiunge in ambedue i casi la soglia di fr. 30'000.– ai fini dell’art. 74 cpv. 1 lett. b LTF. Per questi motivi, pronuncia: 1. Le procedure dipendenti dai reclami di RE 1 e CO 1 sono congiunte. 2. La domanda di ricusa del giudice Jaques è irricevibile. 3. Il reclamo di RE 1 è accolto e di conseguenza i dispositivi n. 1 e 3 della decisione impugnata sono così riformati: 1.   L’opposizione al sequestro è respinta. 3.   Le spese processuali di fr. 300.–, da anticipare dal sequestrante, sono poste a carico dell’opponente, tenuta a rifondere al sequestran­te fr. 15'000.– per ripetibili. 4. Le spese processuali di complessivi fr. 2'500.– relative al reclamo di RE 1, da lui già anticipate, sono poste a carico di CO 1, che rifonderà a RE 1 fr. 10'000.– per ripetibili. 5. Nella misura in cui è ricevibile, il reclamo di CO 1 è respin­to. 6. La domanda di garanzie è respinta. 7. RI 1 è avvertita che in futuro i suoi atti processuali le verranno rinviati senz’altra formalità ove conterranno improperi verso autorità o controparti. 8. Le spese processuali di complessivi fr. 600.– relative al reclamo di CO 1, da lei già anticipate, sono poste a suo carico. È tenuta a rifondere a PA 1 fr. 1'700.– per ripetibili. 9. Notificazione a: – ; –   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Può essere fatta valere unicamente la violazione di diritti costituzionali (art. 98 LTF). Il termine non è sospeso durante le ferie giudiziarie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