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14.2021.54 vom 13. September 2021</w:t>
      </w:r>
    </w:p>
    <w:p>
      <w:r>
        <w:t>TI Tribunale d'appello, 2021-09-13, IT</w:t>
      </w:r>
    </w:p>
    <w:p>
      <w:r>
        <w:rPr>
          <w:b/>
        </w:rPr>
        <w:t xml:space="preserve">Quelle: </w:t>
      </w:r>
      <w:r>
        <w:t>https://mcp.opencaselaw.ch/entscheid/ti_gerichte_14.2021.54</w:t>
      </w:r>
    </w:p>
    <w:p>
      <w:r>
        <w:t>FR: TI_GERICHTE 14.2021.54 du 13 septembre 2021</w:t>
      </w:r>
    </w:p>
    <w:p>
      <w:r>
        <w:t>IT: TI_GERICHTE 14.2021.54 del 13 settembre 2021</w:t>
      </w:r>
    </w:p>
    <w:p>
      <w:pPr>
        <w:pStyle w:val="Heading2"/>
      </w:pPr>
      <w:r>
        <w:t>Regeste</w:t>
      </w:r>
    </w:p>
    <w:p>
      <w:r>
        <w:t>Opposizione al sequestro. Contratto di partecipazione all’acquisto di un aereo. Verosimiglianza della pretesa di risarcimento del danno per inadempimento contrattuale. Trafugamento di beni. Cessione di un aereo a una società dello stesso gruppo</w:t>
      </w:r>
    </w:p>
    <w:p>
      <w:pPr>
        <w:pStyle w:val="Heading2"/>
      </w:pPr>
      <w:r>
        <w:t>Erwägungen</w:t>
      </w:r>
    </w:p>
    <w:p>
      <w:r>
        <w:rPr>
          <w:b/>
        </w:rPr>
        <w:t>E. 6</w:t>
      </w:r>
    </w:p>
    <w:p>
      <w:r>
        <w:t>In entrambe le sedi la tassa, stabilita in applicazione degli art. 48 e 61 cpv. 1 OTLEF (RS 281.35), come le ripetibili, determinate in virtù dell’art.</w:t>
      </w:r>
    </w:p>
    <w:p>
      <w:r>
        <w:rPr>
          <w:b/>
        </w:rPr>
        <w:t>E. 11</w:t>
      </w:r>
    </w:p>
    <w:p>
      <w:r>
        <w:t>cpv. 1-2 RTar (RL 178.310) per il rinvio dell’art. 96 CPC, seguono la soccombenza parziale reciproca (art. 106 cpv. 2 CPC). Per quanto attiene all’importo di fr. 5'400.– assegnato dall’autorità inferiore al sequestrante a titolo di ripetibili, che la reclamante reputa “ arbitrario e insostenibile ”, chiedendone in via subordinata la riduzione a un massimo di fr. 2'300.–, occorre notare ch’esso rientra nella forchetta prescritta dall’art. 11 cpv. 1 e 2 lett. b RTar, il quale per una causa sommaria prescritta dalla LEF il cui valore litigioso sia compreso tra fr. 100'000.– e fr. 500'000.– prevede ripetibili varianti dallo 0.36 al 3.78% del valore medesimo, ossia per un valore litigioso come quello in oggetto di fr. 253'750.– tra un minimo di fr. 3'040.– e un massimo di fr. 15'990.–. Visto il carattere non semplice della fattispecie e il presumibile onere lavorativo del patrocinatore del sequestrante, l’indennità di fr. 5'400.– concessa dal Pretore, che si situa nella fascia media-bassa della forchetta, merita conferma, sotto riserva della sua diversa assegnazione in seguito alla riforma parziale della decisione impugnata, ricordato che in caso di reciproca soccombenza parziale delle parti, le ripetibili a favore della parte maggiormente vincente devono essere ridotte in proporzione della differenza tra le percentuali di vicendevole soccombenza (sentenza della CEF 14.2018.56 del 21 settembre 2018, consid. 6.3). 7. Circa i rimedi esperibili sul piano federale (art. 112 cpv. 1 lett. d LTF), il valore litigioso, di fr. 253'750.– raggiunge la soglia di fr. 30'000.– ai fini dell’art. 74 cpv. 1 lett. b LTF. Per questi motivi, pronuncia: 1. Nella misura in cui è ricevibile, il reclamo è parzialmente accolto e di conseguenza i dispositivi n. 1 e 2 della decisione impugnata sono così riformati: 1.   L’opposizione al sequestro è parzialmente accolta e di conseguenza il sequestro è mantenuto limitatamente a fr. 153'750.– oltre agli interessi del 5% dal 19 agosto 2016. 2.   Le spese processuali di fr. 700.– sono poste a carico dell’opponente nella misura dei 3 ⁄ 5 e per i rimanenti 2 ⁄ 5 a carico di CO 1, al quale la RE 1 rifonderà fr. 1'080.– per ripetibili ridotte. 2. Le spese processuali di complessivi fr. 800.– relative al presente giudizio, già anticipate dalla reclamante, sono poste a suo carico nella misura dei 3 ⁄ 5 e per i rimanenti 2 ⁄ 5 a carico a carico di CO 1, al quale la reclamante rifonderà fr. 1'000.– per ripetibili ridotte. 3. Notificazione a: –  __________ PA 1, __________; –  __________ PA 2, __________, __________. Comunicazione alla Pretura del Distretto di Riviera.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