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14.2020.64 vom 23. Oktober 2020</w:t>
      </w:r>
    </w:p>
    <w:p>
      <w:r>
        <w:t>TI Tribunale d'appello, 2020-10-23, IT</w:t>
      </w:r>
    </w:p>
    <w:p>
      <w:r>
        <w:rPr>
          <w:b/>
        </w:rPr>
        <w:t xml:space="preserve">Quelle: </w:t>
      </w:r>
      <w:r>
        <w:t>https://mcp.opencaselaw.ch/entscheid/ti_gerichte_14.2020.64</w:t>
      </w:r>
    </w:p>
    <w:p>
      <w:r>
        <w:t>FR: TI_GERICHTE 14.2020.64 du 23 octobre 2020</w:t>
      </w:r>
    </w:p>
    <w:p>
      <w:r>
        <w:t>IT: TI_GERICHTE 14.2020.64 del 23 ottobre 2020</w:t>
      </w:r>
    </w:p>
    <w:p>
      <w:pPr>
        <w:pStyle w:val="Heading2"/>
      </w:pPr>
      <w:r>
        <w:t>Regeste</w:t>
      </w:r>
    </w:p>
    <w:p>
      <w:r>
        <w:t>Rigetto definitivo dell’opposizione. Spese di demolizione. Prova del carattere esecutivo della decisione invocata quale titolo di rigetto. Compensazione. Ricusa del giudice di prima istanza</w:t>
      </w:r>
    </w:p>
    <w:p>
      <w:pPr>
        <w:pStyle w:val="Heading2"/>
      </w:pPr>
      <w:r>
        <w:t>Erwägungen</w:t>
      </w:r>
    </w:p>
    <w:p>
      <w:r>
        <w:rPr>
          <w:b/>
        </w:rPr>
        <w:t>E. 3</w:t>
      </w:r>
    </w:p>
    <w:p>
      <w:r>
        <w:t>Nella decisione impugnata, il Pretore ha considerato che le quattro decisioni del Municipio prodotte dall’istante costituivano un titolo di rigetto definitivo per le quattro multe poste in esecuzione, di complessivi fr. 1'440.–, che le spese di demolizione del capannone giudicato abusivo eretto sul fondo n. __________ RFD di __________ (sezione __________), di fr. 19'319.05, erano state stabilite dal Consiglio di Stato con sentenza dell’8 luglio 2015 anch’essa acclusa all’istanza, e che le tasse sui cani per gli anni 2014 e 2015 risultavano da due conteggi prodotti dall’istante. Il primo giudice ha ritenuto le decisioni in questione esecutive, seppur sprovviste della relativa attestazione, visto il tempo trascorso tra la loro emissione e l’avvio dell’esecuzione (fra circa tre e quattro anni e mezzo). Ha escluso per ragioni di ordine temporale che il ricorso interposto dal marito dell’escussa fosse rivolto alla decisione</w:t>
      </w:r>
    </w:p>
    <w:p>
      <w:r>
        <w:rPr>
          <w:b/>
        </w:rPr>
        <w:t>E. 8</w:t>
      </w:r>
    </w:p>
    <w:p>
      <w:r>
        <w:t>La tassa del presente giudizio, stabilita in applicazione degli art. 48 e 61 cpv. 1 OTLEF (RS 281.35) , segue la soccombenza (art. 106 cpv. 1 CPC). Non si pone invece problema di ripetibili, la controparte, cui il reclamo non è stato notificato per osservazioni, non essendo incorsa in spese in questa sede.</w:t>
      </w:r>
    </w:p>
    <w:p>
      <w:r>
        <w:rPr>
          <w:b/>
        </w:rPr>
        <w:t>E. 9</w:t>
      </w:r>
    </w:p>
    <w:p>
      <w:r>
        <w:t>Circa i rimedi esperibili sul piano federale (art. 112 cpv. 1 lett. d LTF), il valore litigioso, di fr. 22'493.20, non raggiunge la soglia di fr. 30'000.– ai fini dell’art. 74 cpv. 1 lett. b LTF. Per questi motivi, pronuncia: 1. Nella misura in cui è ricevibile, il reclamo è respinto. 2. Le spese processuali di complessivi fr. 230.– relative al presente giudizio, già anticipate dalla reclamante, sono poste a suo carico. 3. Notificazione a: –   ; –  . Comunicazione alla Pretura del Distretto di Blenio.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