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14.2020.51 vom 5. April 2018</w:t>
      </w:r>
    </w:p>
    <w:p>
      <w:r>
        <w:t>TI Tribunale d'appello, 2018-04-05, IT</w:t>
      </w:r>
    </w:p>
    <w:p>
      <w:r>
        <w:rPr>
          <w:b/>
        </w:rPr>
        <w:t xml:space="preserve">Quelle: </w:t>
      </w:r>
      <w:r>
        <w:t>https://mcp.opencaselaw.ch/entscheid/ti_gerichte_14.2020.51_d20180405</w:t>
      </w:r>
    </w:p>
    <w:p>
      <w:r>
        <w:t>FR: TI_GERICHTE 14.2020.51 du 5 avril 2018</w:t>
      </w:r>
    </w:p>
    <w:p>
      <w:r>
        <w:t>IT: TI_GERICHTE 14.2020.51 del 5 aprile 2018</w:t>
      </w:r>
    </w:p>
    <w:p>
      <w:pPr>
        <w:pStyle w:val="Heading2"/>
      </w:pPr>
      <w:r>
        <w:t>Regeste</w:t>
      </w:r>
    </w:p>
    <w:p>
      <w:r>
        <w:t>Rigetto provvisorio dell’opposizione. Rinvio della causa deciso dal Tribunale federale per fissazione delle spese e ripetibili di seconda istanza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processuali di complessivi fr. 580.– relative al giudizio del 10 ottobre 2018 (inc. 14.2018.52) , già anticipate dalla reclamante, sono poste a suo carico. Essa rifonderà alla comunione ereditaria fu CO 1 fr. 2'400.– per ripetibili.</w:t>
      </w:r>
    </w:p>
    <w:p>
      <w:r>
        <w:rPr>
          <w:b/>
        </w:rPr>
        <w:t>E. 2</w:t>
      </w:r>
    </w:p>
    <w:p>
      <w:r>
        <w:t>.   Notificazione a: –     ; –  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