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14.2020.25 vom 12. Februar 2020</w:t>
      </w:r>
    </w:p>
    <w:p>
      <w:r>
        <w:t>TI Tribunale d'appello, 2020-02-12, IT</w:t>
      </w:r>
    </w:p>
    <w:p>
      <w:r>
        <w:rPr>
          <w:b/>
        </w:rPr>
        <w:t xml:space="preserve">Quelle: </w:t>
      </w:r>
      <w:r>
        <w:t>https://mcp.opencaselaw.ch/entscheid/ti_gerichte_14.2020.25_d20200212</w:t>
      </w:r>
    </w:p>
    <w:p>
      <w:r>
        <w:t>FR: TI_GERICHTE 14.2020.25 du 12 février 2020</w:t>
      </w:r>
    </w:p>
    <w:p>
      <w:r>
        <w:t>IT: TI_GERICHTE 14.2020.25 del 12 febbraio 2020</w:t>
      </w:r>
    </w:p>
    <w:p>
      <w:pPr>
        <w:pStyle w:val="Heading2"/>
      </w:pPr>
      <w:r>
        <w:t>Regeste</w:t>
      </w:r>
    </w:p>
    <w:p>
      <w:r>
        <w:t>Autofallimento. Reiezione della domanda ritenuta manifestamente abusiva. Reclamo irricevibile (insufficientemente motivato)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CC, che il giudice deve accertare d’ufficio, respingendo l’istanza. Questa giurisprudenza è stata confermata ancora recentemente (sentenza del Tribunale federale 5A_433/2019 consid. 4.1 con numerosi rinvii). Ebbene il reclamante non contesta di non avere beni che potrebbero essere realizzati a favore dei suoi creditori nella procedura di fallimento di cui chiede l’apertura. Non è di rilievo al riguardo il suo salario, dal momento che non cadrebbe nella massa (art. 199 cpv. 2 LEF a contrario ; sentenza del Tribunale federale 5A_78/2016 del 14 marzo 2015 consid. 3.2). Anche se non fosse irricevibile, il reclamo dovrebbe quindi essere respinto.</w:t>
      </w:r>
    </w:p>
    <w:p>
      <w:r>
        <w:rPr>
          <w:b/>
        </w:rPr>
        <w:t>E. 3</w:t>
      </w:r>
    </w:p>
    <w:p>
      <w:r>
        <w:t>Notificazione a __________ Comunicazione alla Pretura della Giurisdizione di Locarno-Città. Per la Camera di esecuzione e fallimenti del Tribunale d’appello Il presidente                                                            La vicecancelliera Rimedi giuridici Contro la presente decisione è possibile presentare ricorso in materia civile (art. 74 cpv. 2 lett. d LTF) al Tribunale federale, 1000 Losanna 14, entro 30 giorni dalla notificazione (art. 100 cpv. 1 LTF). Il termine di ricorso è sospeso durante le ferie giudiziarie (art. 46 cpv. 1 LTF).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