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14.2020.159 vom 18. Januar 2021</w:t>
      </w:r>
    </w:p>
    <w:p>
      <w:r>
        <w:t>TI Tribunale d'appello, 2021-01-18, IT</w:t>
      </w:r>
    </w:p>
    <w:p>
      <w:r>
        <w:rPr>
          <w:b/>
        </w:rPr>
        <w:t xml:space="preserve">Quelle: </w:t>
      </w:r>
      <w:r>
        <w:t>https://mcp.opencaselaw.ch/entscheid/ti_gerichte_14.2020.159</w:t>
      </w:r>
    </w:p>
    <w:p>
      <w:r>
        <w:t>FR: TI_GERICHTE 14.2020.159 du 18 janvier 2021</w:t>
      </w:r>
    </w:p>
    <w:p>
      <w:r>
        <w:t>IT: TI_GERICHTE 14.2020.159 del 18 gennaio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tassa del presente giudizio, stabilita in applicazione degli art. 48 e 61 cpv. 1 OTLEF (RS 281.35) , come le ripetibili, determinate in virtù dell’art.</w:t>
      </w:r>
    </w:p>
    <w:p>
      <w:r>
        <w:rPr>
          <w:b/>
        </w:rPr>
        <w:t>E. 11</w:t>
      </w:r>
    </w:p>
    <w:p>
      <w:r>
        <w:t>cpv. 1-2 RTar ( RL 178.310 ) per il rinvio del l’art. 96 CPC, seguono la soccombenza (art. 106 cpv. 2 CPC). 7. Circa i rimedi esperibili sul piano federale (art. 112 cpv. 1 lett. d LTF), il valore litigioso, di fr. 782'301.95 raggiunge senz’altro la soglia di fr. 30'000.– ai fini dell’art. 74 cpv. 1 lett. b LTF. Per questi motivi, pronuncia: 1. Il reclamo è respinto. 2. Le spese processuali di complessivi fr. 800.– relative al presente giudizio, già anticipate dal reclamante, sono poste a suo carico. RE 1 rifonderà alla CO 1 fr. 2'000.– per ripetibili. 3. Notificazione a: –    ; –     . Comunicazione alla Pretura del Distretto di Riviera.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