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14.2020.157 vom 5. März 2021</w:t>
      </w:r>
    </w:p>
    <w:p>
      <w:r>
        <w:t>TI Tribunale d'appello, 2021-03-05, IT</w:t>
      </w:r>
    </w:p>
    <w:p>
      <w:r>
        <w:rPr>
          <w:b/>
        </w:rPr>
        <w:t xml:space="preserve">Quelle: </w:t>
      </w:r>
      <w:r>
        <w:t>https://mcp.opencaselaw.ch/entscheid/ti_gerichte_14.2020.157</w:t>
      </w:r>
    </w:p>
    <w:p>
      <w:r>
        <w:t>FR: TI_GERICHTE 14.2020.157 du 5 mars 2021</w:t>
      </w:r>
    </w:p>
    <w:p>
      <w:r>
        <w:t>IT: TI_GERICHTE 14.2020.157 del 5 marzo 2021</w:t>
      </w:r>
    </w:p>
    <w:p>
      <w:pPr>
        <w:pStyle w:val="Heading2"/>
      </w:pPr>
      <w:r>
        <w:t>Regeste</w:t>
      </w:r>
    </w:p>
    <w:p>
      <w:r>
        <w:t>Opposizione al sequestro. Pretesa della sequestrante fondata in prima sede su una fattura e un elenco prestazioni non avvallato dall’opponente. Fatti e mezzi di prova nuovi in sede di reclamo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Limitando l’esame del reclamo alle allegazioni e documenti addotti dalla reclamante in prima sede, non si può non condividere l’ac­certamento del Pretore secondo cui né la fattura dell’RE 1 del 24 settembre 2019 (doc. H accluso all’istanza) né l’annes­­so elenco cronologico delle sue prestazioni, siccome non risultano avallati dall’opponente, costituiscono indizi oggettivi idonei a ren­dere verosimili l’esistenza e l’importo della pretesa da essa vantata (sentenza della CEF 14.2016.172 del</w:t>
      </w:r>
    </w:p>
    <w:p>
      <w:r>
        <w:rPr>
          <w:b/>
        </w:rPr>
        <w:t>E. 10</w:t>
      </w:r>
    </w:p>
    <w:p>
      <w:r>
        <w:t>gennaio 2017, consid. 5.2 e 5.3, massimata in RtiD 2017 II 903 n. 67c, e i rinvii), neppure in relazione con il contratto di divisione ereditaria del 30 luglio 2019 (doc. E), il quale non vi rinvia e non vi poteva rinviare giacché la fattura è stata emessa successivamente. Che la fattura non sia stata contestata dall’opponente prima della procedura di sequestro è un’allegazione priva di rilievo nella misura in cui la reclamante non ha reso verosimile ch’egli ne abbia avuto conoscenza in precedenza. Sono d’altronde tardive le allegazioni fondate sull’e-mail del notaio del 13 novembre 2019 (doc. G accluso al reclamo) – per tacere del fatto che la reclamante non spiega perché non le è stato versato perlomeno il saldo residuo di fr. 93'962.44 menzionato dal pubblico ufficiale – e sul riconoscimento di debito di PI 3 (doc. H), non fatte valere in prima sede (sopra consid. 5.2) . Ciò posto, gli accertamenti del Pretore non possono dirsi manifestamente errati, sicché la sua conclusione risulta condivisibile pu­re dal profilo del diritto e il reclamo, infondato, da respingere. 7. La tassa del presente giudizio, stabilita in applicazione degli art. 48 e 61 cpv. 1 OTLEF (RS 281.35), come le ripetibili, determinate in virtù dell’art. 11 cpv. 1-2 RTar ( RL 178.310 ) per il rinvio del l’art. 96 CPC, seguono la soccombenza (art. 106 cpv. 1 CPC). 8. Circa i rimedi esperibili sul piano federale (art. 112 cpv. 1 lett. d LTF), il valore litigioso, di fr. 105'029.–, raggiunge senz’altro la soglia di fr. 30'000.– ai fini dell’art. 74 cpv. 1 lett. b LTF. Per questi motivi, pronuncia: 1. Il reclamo è respinto. 2. Le spese processuali di complessivi fr. 800.– relative al presente giudizio, già anticipate dalla reclamante, sono poste a suo carico. L’RE 1 rifonderà a CO 1 fr. 2'500.– per ripetibili. 3. Notificazione a: – ; – . Comunicazione alla Pretura del Distretto di Lugano, sezione 5.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Può essere fatta valere unicamente la violazione di diritti costituzionali (art. 98 LTF). Il termine non è sospeso durante le ferie giudiziarie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