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14.2019.88 vom 25. April 2022</w:t>
      </w:r>
    </w:p>
    <w:p>
      <w:r>
        <w:t>TI Tribunale d'appello, 2022-04-25, IT</w:t>
      </w:r>
    </w:p>
    <w:p>
      <w:r>
        <w:rPr>
          <w:b/>
        </w:rPr>
        <w:t xml:space="preserve">Quelle: </w:t>
      </w:r>
      <w:r>
        <w:t>https://mcp.opencaselaw.ch/entscheid/ti_gerichte_14.2019.88</w:t>
      </w:r>
    </w:p>
    <w:p>
      <w:r>
        <w:t>FR: TI_GERICHTE 14.2019.88 du 25 avril 2022</w:t>
      </w:r>
    </w:p>
    <w:p>
      <w:r>
        <w:t>IT: TI_GERICHTE 14.2019.88 del 25 aprile 2022</w:t>
      </w:r>
    </w:p>
    <w:p>
      <w:pPr>
        <w:pStyle w:val="Heading2"/>
      </w:pPr>
      <w:r>
        <w:t>Regeste</w:t>
      </w:r>
    </w:p>
    <w:p>
      <w:r>
        <w:t>Rivendicazione nella procedura di pignoramento. Appello. Transazione extragiudiziale. Stralcio. Restituzione del saldo dell’anticipo e della cauzione processuale</w:t>
      </w:r>
    </w:p>
    <w:p>
      <w:pPr>
        <w:pStyle w:val="Heading2"/>
      </w:pPr>
      <w:r>
        <w:t>Volltext</w:t>
      </w:r>
    </w:p>
    <w:p>
      <w:r>
        <w:t>Ticino Tribunale di appello diritto civile La Camera di esecuzione e fallimenti 25.04.2022 14.2019.88</w:t>
      </w:r>
    </w:p>
    <w:p>
      <w:r>
        <w:t>Rivendicazione nella procedura di pignoramento. Appello. Transazione extragiudiziale. Stralcio. Restituzione del saldo dell’anticipo e della cauzione processuale</w:t>
      </w:r>
    </w:p>
    <w:p>
      <w:r>
        <w:t>Incarto n. 14.2019.88 Lugano 25 aprile 2022 In nome della Repubblica e Cantone Ticino La Camera di esecuzione e fallimenti del Tribunale d’appello composta del giudice: Jaques, presidente vicecancelliera: Bertoni statuendo nella composizione a giudice unico (art. 48 b LOG) nella causa OR.2015.125 (rivendicazione nell’esecuzione) della Pretura del Distretto di Lugano, sezione 1, promossa con petizione del 26 maggio 2015 da AP 1 IT- (patrocinata dall’__________ PA 1, __________) contro AO 1 IT (patrocinata dalla PA 2 , __________ ) giudicando sull’appello del 9 maggio 2019 presentato da AP 1 contro la decisione emessa il 28 marzo 2019 dal Pretore, con cui ha respinto la petizione con cui l’attrice aveva chiesto di accertare un suo diritto prevalente sui beni pignorati nell’e­secuzione promossa nei confronti di suo marito, __________, dalla AO 1, ponendo a carico dell’attrice le spese processuali di fr. 55'000.– e ripetibili di fr. 185'000.– a favore della convenuta; ricordata l’ordinanza 2 luglio 2020 con cui il presidente della Camera ha sospeso la trattazione della causa fino a richiesta di riattivazione (o di stralcio) della parte più diligente; preso atto dello scritto 21 aprile 2022 dell’appellante, che in seguito alla sottoscrizione di una convenzione transattiva nel frattempo eseguita quasi integralmente, d’intesa con la controparte chiede lo stralcio della causa dai ruoli, il contenimento delle spese processuali al minimo o la rinuncia al suo prelevamento, la restituzione sul conto del proprio patrocinatore del saldo dell’anticipo e della cauzione processuale da lei già versati e la compensazione delle ripetibili; considerato che l’accordo extragiudiziale ha reso la causa senza oggetto, la quale va dunque stralciata dal ruolo (art. 242 CPC); ritenuto che conformemente a tale accordo e alla volontà delle parti, le spese processuali, nella cui commisurazione si deve tenere conto delle cinque ordinanze e del decreto emes­si dal presidente della Camera e del fatto che la decisione odierna si esaurisce in una dichiarazione di non entrata in materia (art. 21 LTG), vanno poste a carico dell’appellante, compensate le ripetibili; atteso che c irca i rimedi esperibili sul piano federale (art. 112 cpv. 1 lett. d LTF), il valore litigioso, di fr. 9'249'871.–, supera la soglia di fr. 30'000.– ai fini dell’art. 74 cpv. 1 lett. b LTF; Per questi motivi, pronuncia: 1. L’appello è dichiarato senza oggetto ed è pertanto stralciato dal ruolo. 2. Le spese processuali di complessivi fr. 2'000.– relative al presente giudizio sono poste a carico di AP 1. Fatta salva un’eventuale compensazione, l’eccedenza di fr. 53'000.– anticipata dall’appellante e la cauzione processuale di fr. 60'000.– da lei versata le sono retrocesse sul conto cliente del suo patrocinatore. Le ripetibili sono compensate. 3. Notificazione a: – ; – . Comunicazione alla Pretura del Distretto di Lugano, sezione 1.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