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14.2018.37 vom 27. März 2018</w:t>
      </w:r>
    </w:p>
    <w:p>
      <w:r>
        <w:t>TI Tribunale d'appello, 2018-03-27, IT</w:t>
      </w:r>
    </w:p>
    <w:p>
      <w:r>
        <w:rPr>
          <w:b/>
        </w:rPr>
        <w:t xml:space="preserve">Quelle: </w:t>
      </w:r>
      <w:r>
        <w:t>https://mcp.opencaselaw.ch/entscheid/ti_gerichte_14.2018.37</w:t>
      </w:r>
    </w:p>
    <w:p>
      <w:r>
        <w:t>FR: TI_GERICHTE 14.2018.37 du 27 mars 2018</w:t>
      </w:r>
    </w:p>
    <w:p>
      <w:r>
        <w:t>IT: TI_GERICHTE 14.2018.37 del 27 marzo 2018</w:t>
      </w:r>
    </w:p>
    <w:p>
      <w:pPr>
        <w:pStyle w:val="Heading2"/>
      </w:pPr>
      <w:r>
        <w:t>Regeste</w:t>
      </w:r>
    </w:p>
    <w:p>
      <w:r>
        <w:t>Fallimento cambiario. Esclusione della via del reclamo all'autorità giudiziaria cantonale superiore</w:t>
      </w:r>
    </w:p>
    <w:p>
      <w:pPr>
        <w:pStyle w:val="Heading2"/>
      </w:pPr>
      <w:r>
        <w:t>Erwägungen</w:t>
      </w:r>
    </w:p>
    <w:p>
      <w:r>
        <w:rPr>
          <w:b/>
        </w:rPr>
        <w:t>E. 42</w:t>
      </w:r>
    </w:p>
    <w:p>
      <w:r>
        <w:t>ad § 37; R oth in: SchKG, Kurzkommentar, 2 a ed. 2014, n. 7 ad art. 189 LEF; T albot in: Kren-Kostkiewicz/Vock, Kommentar SchKG, 2017, n. 9 ad art. 189 LEF; idem già prima dell’entrata in vigore del CPC il 1° gennaio 2011: sentenza del Tribunale federale 5A_268/2010 del 30 aprile 2010 consid. 1.2; Gilliéron , Commentaire de la LP, vol. III, 2001, n. 45 segg. ad art. 189 LEF; D allèves in: Commentaire romand, Poursuite et faillite, 2005, n. 8-9 ad art. 189 LEF ). Il reclamo è di conseguenza irricevibile. 2. Per abbondanza si può del resto rilevare che nel merito la reclamante si limita a sostenere di essere solvibile, ma non prova né rende verosimile la sussistenza del secondo presupposto stabilito dall’art. 174 cpv. 2 LEF, ovvero l’estinzione del credito dell’istante, il deposito giudiziale della somma dovuta o il ritiro della domanda di fallimento entro la scadenza del termine di ricorso (DTF 136 III 294 consid. 3). Fosse anche ricevibile, il reclamo dovrebbe quindi in ogni caso essere respinto. 3. Non essendo stato concesso effetto sospensivo al gravame, il fallimento non dev’essere nuovamente pronunciato. Contro la decisione odierna è possibile un ricorso in materia civile al Tribunale federale (art. 74 cpv. 2 lett. d LTF). Diversa è la questione, che esula dalla causa in esame, di un eventuale ricorso contro la sentenza pretorile direttamente al Tribunale federale (art. 75 cpv. 2 lett. a LTF). 4. La tassa di giustizia (calcolata secondo gli art. 52 lett. a e 61 cpv. 1 OTLEF [ RS 281.35] ) è posta a carico della parte soccombente (art. 106 cpv. 1 CPC). Non si pone invece problema di ripetibili, la controparte, cui il reclamo non è stato notificato per osservazioni, non essendo incorsa in spese in questa sede. Per questi motivi, pronuncia:              1. Il reclamo è irricevibile. 2. La tassa di giustizia del presente giudizio di fr. 150.– è posta a carico della RE 1. 3. Notificazione a: –; –; –  Ufficio di esecuzione, Bellinzona; –  Ufficio dei fallimenti, Bellinzona. Comunicazione alla Pretura del Distretto di Bellinzona. Per la Camera di esecuzione e fallimenti del Tribunale d’appello Il presidente                                                          La vicecancelliera Rimedi giuridici Contro la presente decisione è possibile presentare ricorso in materia civile (art. 74 cpv. 2 lett. d LTF) al Tribunale federale, 1000 Losanna 14, entro 30 giorni dalla notificazione (art. 100 cpv. 1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