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14.2018.104 vom 18. Juli 2018</w:t>
      </w:r>
    </w:p>
    <w:p>
      <w:r>
        <w:t>TI Tribunale d'appello, 2018-07-18, IT</w:t>
      </w:r>
    </w:p>
    <w:p>
      <w:r>
        <w:rPr>
          <w:b/>
        </w:rPr>
        <w:t xml:space="preserve">Quelle: </w:t>
      </w:r>
      <w:r>
        <w:t>https://mcp.opencaselaw.ch/entscheid/ti_gerichte_14.2018.104_d20180718</w:t>
      </w:r>
    </w:p>
    <w:p>
      <w:r>
        <w:t>FR: TI_GERICHTE 14.2018.104 du 18 juillet 2018</w:t>
      </w:r>
    </w:p>
    <w:p>
      <w:r>
        <w:t>IT: TI_GERICHTE 14.2018.104 del 18 luglio 2018</w:t>
      </w:r>
    </w:p>
    <w:p>
      <w:pPr>
        <w:pStyle w:val="Heading2"/>
      </w:pPr>
      <w:r>
        <w:t>Regeste</w:t>
      </w:r>
    </w:p>
    <w:p>
      <w:r>
        <w:t>Rigetto definitivo dell’opposizione. Convenzione sugli effetti del divorzio omologata dal giudice. Motivazione insufficiente del reclamo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tassa del presente giudizio, stabilita in applicazione degli art. 48 e 61 cpv. 1 OTLEF (RS 281.35) , segue la soccombenza (art. 106 cpv. 1 CPC). Non si pone invece problema di ripetibili, la controparte, cui il reclamo non è stato notificato per osservazioni, non essendo incorsa in spese in questa sede.</w:t>
      </w:r>
    </w:p>
    <w:p>
      <w:r>
        <w:rPr>
          <w:b/>
        </w:rPr>
        <w:t>E. 4</w:t>
      </w:r>
    </w:p>
    <w:p>
      <w:r>
        <w:t>Circa i rimedi esperibili sul piano federale (art. 112 cpv. 1 lett. d LTF), il valore litigioso, di fr. 32'000.–, raggiunge la soglia di fr. 30'000.– ai fini dell’art. 74 cpv. 1 lett. b LTF. Per questi motivi, pronuncia: 1. Il reclamo è irricevibile. 2. Le spese processuali di complessivi fr. 250.– relative al presente giudizio, già anticipate dal reclamante, sono poste a suo carico. 3. Notificazione a: –   ; –    . Comunicazione alla Pretura del Distretto di Lugano, sezione 5.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