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14.2017.224 vom 16. Mai 2018</w:t>
      </w:r>
    </w:p>
    <w:p>
      <w:r>
        <w:t>TI Tribunale d'appello, 2018-05-16, IT</w:t>
      </w:r>
    </w:p>
    <w:p>
      <w:r>
        <w:rPr>
          <w:b/>
        </w:rPr>
        <w:t xml:space="preserve">Quelle: </w:t>
      </w:r>
      <w:r>
        <w:t>https://mcp.opencaselaw.ch/entscheid/ti_gerichte_14.2017.224</w:t>
      </w:r>
    </w:p>
    <w:p>
      <w:r>
        <w:t>FR: TI_GERICHTE 14.2017.224 du 16 mai 2018</w:t>
      </w:r>
    </w:p>
    <w:p>
      <w:r>
        <w:t>IT: TI_GERICHTE 14.2017.224 del 16 maggio 2018</w:t>
      </w:r>
    </w:p>
    <w:p>
      <w:pPr>
        <w:pStyle w:val="Heading2"/>
      </w:pPr>
      <w:r>
        <w:t>Regeste</w:t>
      </w:r>
    </w:p>
    <w:p>
      <w:r>
        <w:t>Rigetto provvisorio dell’opposizione. Piano di rientro sottoscritto dall’escusso quale amministratore unico della società debitrice. Mancanza d’identità tra escusso e debitrice</w:t>
      </w:r>
    </w:p>
    <w:p>
      <w:pPr>
        <w:pStyle w:val="Heading2"/>
      </w:pPr>
      <w:r>
        <w:t>Erwägungen</w:t>
      </w:r>
    </w:p>
    <w:p>
      <w:r>
        <w:rPr>
          <w:b/>
        </w:rPr>
        <w:t>E. 3</w:t>
      </w:r>
    </w:p>
    <w:p>
      <w:r>
        <w:t>Nella decisione impugnata, il Pretore ha ritenuto che la documentazione prodotta dall’istante – in particolare l’estratto conto e il piano di rientro sottoscritto il 2 febbraio 2017 da RE 1 – costituisce un valido titolo di rigetto provvisorio dell’opposi­­zione per la somma posta in esecuzione. Egli ha d’altronde respinto l’eccezione dell’escusso secondo cui la controversia non concernerebbe lui personalmente ma la PINT1 1, di cui era stato amministratore unico, poiché ha considerato che il piano di rientro è stato sottoscritto da lui senza alcuna riserva di sorta né alcun riferimento alla suddetta società.</w:t>
      </w:r>
    </w:p>
    <w:p>
      <w:r>
        <w:rPr>
          <w:b/>
        </w:rPr>
        <w:t>E. 4</w:t>
      </w:r>
    </w:p>
    <w:p>
      <w:r>
        <w:t>Nel reclamo RE 1 rimprovera al Pretore di essere giunto a una decisione manifestamente errata, ribadendo di aver sottoscritto il piano di rientro con la CO 1 in veste di amministratore unico della PINT1 1 e non a titolo personale. A suo dire l’accordo di pagamento è così sorto unicamente tra l’escutente e la società da lui a quel tempo amministrata, come si evince d’altronde dal documento intitolato “Statistiche PA conto singolo” , che stabilisce il saldo ancora dovuto dalla PINT1 1 e non da lui stesso. Osserva inoltre come, date le “lunghe relazioni commerciali” che le due società intrattenevano da tempo, qualora la CO 1 avesse preteso an­che un riconoscimento personale da parte sua, avrebbe dovuto e potuto evidenziarlo. Non avendolo fatto, l’estratto conto non può pertanto costituire un valido riconoscimento di debito nei suoi confronti. Il reclamante contesta infine l’applicazione del tasso d’interesse moratorio dell’8%, a suo dire ingiustificato e lesivo dell’art. 104 cpv. 1 CO. Nelle sue osservazioni al reclamo, la CO 1 si limita a notare, con un certo rammarico, che “ancora una volta un privato cittadino, anche se amministratore unico della SA, tenti la possibilità di non prestar fede alle responsabilità assunte e non cerchi di onorare i debiti sottoscritti, lasciando in grande disagio i suoi creditori” .</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(DTF 139 III 447 consid. 4.1.1).</w:t>
      </w:r>
    </w:p>
    <w:p>
      <w:r>
        <w:rPr>
          <w:b/>
        </w:rPr>
        <w:t>E. 5.1</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L’opposizione può essere rigettata in via provvisoria solo se l’escutente prova (e non solo rende verosimile: sentenza del Tribunale federale 5A_741/2013 del 3 aprile 2014, consid. 3.1.3 con rimandi) l’esistenza di un riconoscimento di debito, il quale deve risultare indiscutibilmente dal documento o dai documenti prodotti dall’escutente (vedi Staehelin in: Basler Kommentar, SchKG I, 2 a ed. 2010, n. 21 ad art. 82 LEF) . Una sua eventuale interpretazione può fondarsi solo sul titolo stesso (sentenza 5A_741/2013 già citata, consid. 3.1.1 e 4.2), fermo restando che in caso di dubbio la questione litigiosa andrà, se occorre, sottoposta al giudice ordinario (sentenza della CEF 14.2015.23 del 28 maggio 2015, consid. 7.1).</w:t>
      </w:r>
    </w:p>
    <w:p>
      <w:r>
        <w:rPr>
          <w:b/>
        </w:rPr>
        <w:t>E. 5.2</w:t>
      </w:r>
    </w:p>
    <w:p>
      <w:r>
        <w:t>Nella fattispecie, il documento prodotto dall’istante – intitolato “__________” – sul quale il 2 luglio 2017 RE 1 ha apposto la propria firma sotto la dicitura “piano di rientro” (doc. B accluso all’istanza) risulta esplicitamente essere riferito al conto della società PINT1 1. Da nessuna parte si evince che RE 1 abbia sottoscritto il piano di rientro in nome e per conto proprio invece che per la società da lui amministrata. Ora, la società anonima ha una personalità giuridica propria sicché dei suoi debiti risponde solo il patrimonio sociale (art. 620 cpv. 1 CO), non quello personale degli azionisti o degli amministratori. Che RE 1 fosse al mo­mento della firma del piano di rientro amministratore unico della PINT1 1 con firma individuale non è contestato neppure dall’istante e ad ogni modo è un fatto notorio, evincibile dal registro di commercio , che conformemente a quanto previsto dall’art. 151 CPC non dev’essere né allegato né provato (sentenza della CEF 14.2017.71 del 4 settembre 2017, consid. 5, con rinvio alle sentenze del Tribunale federale 2C_82/2015 del 2 luglio 2015, consid. 6.2 e 5A_62/2009 del 2 luglio 2009, consid. 2.1). La CO 1, comunque sia, non ha dimostrato, come le incombeva (sopra consid. 5.1), che RE 1 abbia riconosciuto di assumersi personalmente il debito della sua cliente. Al contrario, la PINT1 1 è registrata nella contabilità dell’istante come sua debitrice. Poiché escusso e debitrice non risultano essere la medesima persona, la decisione del Pretore si rivela manifestamente errata, sicché il reclamo merita accoglimento e la sentenza impugnata dev’esser riformata nel senso della reiezione dell’istanza, fermo restando che all’istante rimane se del caso la facoltà di adire il giudice di merito, onde fargli accertare un’e­­ventuale responsabilità personale di RE 1 (sopra consid. 5.1).</w:t>
      </w:r>
    </w:p>
    <w:p>
      <w:r>
        <w:rPr>
          <w:b/>
        </w:rPr>
        <w:t>E. 6</w:t>
      </w:r>
    </w:p>
    <w:p>
      <w:r>
        <w:t>In entrambe le sedi la tassa, stabilita in applicazione degli art. 48 e 61 cpv. 1 OTLEF (RS 281.35) , segue la soccombenza (art. 106 cpv. 1 CPC), mentre a favore del reclamante possono essere assegnate ripetibili, determinate in virtù dell’art. 11 cpv. 1-2 RTar ( RL 3.1.1.7.1 ) per il rinvio del l’art. 96 CPC, solo in seconda sede, dal momento che in prima istanza egli non ha formulato alcuna richiesta motivata in tal senso (cfr. art. 95 cpv. 3 lett. c CPC).</w:t>
      </w:r>
    </w:p>
    <w:p>
      <w:r>
        <w:rPr>
          <w:b/>
        </w:rPr>
        <w:t>E. 7</w:t>
      </w:r>
    </w:p>
    <w:p>
      <w:r>
        <w:t>Circa i rimedi esperibili sul piano federale (art. 112 cpv. 1 lett. d LTF), il valore litigioso, pari a fr. 49'562.15, supera la soglia di fr. 30'000.– ai fini dell’art. 74 cpv. 1 lett. b LTF. Per questi motivi, pronuncia: 1. Il reclamo è accolto e di conseguenza i dispositivi n. 1 e 2 della decisione impugnata sono così riformati: 1.   L’istanza è respinta. 2. Le spese processuali di fr. 250.–, anticipate dalla parte istante, sono poste a suo carico. 2. Le spese processuali di complessivi fr. 420.– relative al presente giudizio, già anticipate dal reclamante, sono poste a carico della CO 1, tenuta a rifondere a RE 1 fr. 900.– a titolo di ripetibili.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