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14.2016.97 vom 30. Mai 2016</w:t>
      </w:r>
    </w:p>
    <w:p>
      <w:r>
        <w:t>TI Tribunale d'appello, 2016-05-30, IT</w:t>
      </w:r>
    </w:p>
    <w:p>
      <w:r>
        <w:rPr>
          <w:b/>
        </w:rPr>
        <w:t xml:space="preserve">Quelle: </w:t>
      </w:r>
      <w:r>
        <w:t>https://mcp.opencaselaw.ch/entscheid/ti_gerichte_14.2016.97</w:t>
      </w:r>
    </w:p>
    <w:p>
      <w:r>
        <w:t>FR: TI_GERICHTE 14.2016.97 du 30 mai 2016</w:t>
      </w:r>
    </w:p>
    <w:p>
      <w:r>
        <w:t>IT: TI_GERICHTE 14.2016.97 del 30 maggio 2016</w:t>
      </w:r>
    </w:p>
    <w:p>
      <w:pPr>
        <w:pStyle w:val="Heading2"/>
      </w:pPr>
      <w:r>
        <w:t>Regeste</w:t>
      </w:r>
    </w:p>
    <w:p>
      <w:r>
        <w:t>Rigetto definitivo dell’opposizione. Eccezione di nullità del precetto esecutivo, notificato al patrocinatore dell’escusso</w:t>
      </w:r>
    </w:p>
    <w:p>
      <w:pPr>
        <w:pStyle w:val="Heading2"/>
      </w:pPr>
      <w:r>
        <w:t>Erwägungen</w:t>
      </w:r>
    </w:p>
    <w:p>
      <w:r>
        <w:rPr>
          <w:b/>
        </w:rPr>
        <w:t>E. 1</w:t>
      </w:r>
    </w:p>
    <w:p>
      <w:r>
        <w:t>il 12 aprile, in concreto il reclamo è tempestivo.</w:t>
      </w:r>
    </w:p>
    <w:p>
      <w:r>
        <w:rPr>
          <w:b/>
        </w:rPr>
        <w:t>E. 1.2</w:t>
      </w:r>
    </w:p>
    <w:p>
      <w:r>
        <w:t>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3</w:t>
      </w:r>
    </w:p>
    <w:p>
      <w:r>
        <w:t>Nella decisione impugnata, il Pretore ha considerato che le sentenze prodotte dall’istante costituiscono un valido titolo di rigetto definitivo dell’opposizione per le spese processuali e le ripetibili poste in esecuzione e ha respinto l’eccezione di nullità dell’ese­­cuzione sollevata dall’escusso, secondo cui il precetto esecutivo è pervenuto solo al suo patrocinatore e non a lui personalmente, ritenendo “inimmaginabile” che il legale non abbia informato il suo cliente della procedura esecutiva, i cui diritti sono del resto stati salvaguardati dall’opposizione interposta dal proprio avvocato. Nel caso inverso, ha osservato il magistrato, la comparsa del legale nella procedura di rigetto sarebbe stata nulla in assenza di una valida procura dell’escusso.</w:t>
      </w:r>
    </w:p>
    <w:p>
      <w:r>
        <w:rPr>
          <w:b/>
        </w:rPr>
        <w:t>E. 4</w:t>
      </w:r>
    </w:p>
    <w:p>
      <w:r>
        <w:t>Nel reclamo RE 1 ribadisce la nullità del precetto esecutivo, che è stato notificato nello studio legale del proprio patrocinatore malgrado il suo domicilio privato fosse perfettamente noto all’istante. Egli contesta inoltre di essere stato rappresentato nella causa all’origine delle spese processuali poste in esecuzione dal patrocinatore cui è stato notificato il precetto esecutivo. Comunque sia, il reclamante ricorda che l’avvocato incaricato di patrocinare un cliente in una procedura di merito non è senz’altro autorizzato a ricevere a nome di questi un atto esecutivo relativo alla pretesa oggetto del processo. E la semplice conoscenza della notificazione irregolare non basta a far correre i termini dipendenti dalla notifica, la cui prova incombe all’ufficio d’esecuzione.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5.1</w:t>
      </w:r>
    </w:p>
    <w:p>
      <w:r>
        <w:t>Nella fattispecie l’unica questione litigiosa è quella della validità della notifica del precetto esecutivo. Come appena ricordato la competenza del giudice del rigetto dell’opposizione a esaminare tale questione è limitata ai casi di manifesta nullità.</w:t>
      </w:r>
    </w:p>
    <w:p>
      <w:r>
        <w:rPr>
          <w:b/>
        </w:rPr>
        <w:t>E. 5.2</w:t>
      </w:r>
    </w:p>
    <w:p>
      <w:r>
        <w:t>Il precetto esecutivo e la comminatoria di fallimento si notificano in linea di massima all’escusso, se è una persona fisica nella sua abitazione o nel luogo in cui suole esercitare la sua professione (art. 64 cpv. 1 LEF). Devono però essere notificati al suo rappresentante convenzionale (ad esempio al suo avvocato) ove questi sia stato espressamente abilitato a ricevere atti esecutivi per conto del debitore e l’ufficio di esecuzione sia venuto a conoscenza di questa circostanza (sentenza della CEF 15.2009.144 del 1° febbraio 2010, RtiD 2011 I 743 n. 48c, consid. 6/b con rinvii). L’avvocato incaricato della conduzione di un processo non è presunto essere autorizzato a ricevere atti esecutivi connessi al processo, salvo che il mandato preveda esplicitamente tale facoltà. La procura può tuttavia essere conferita anche in modo tacito. Nei confronti dei terzi, la sua estensione è giudicata secondo i termini della sua comunicazione (art. 33 cpv. 3 CO) conformemente al principio dell’affidamento. In particolare, il rappresentato (mandante) deve lasciarsi opporre il comportamento del rappresentante, seppure non sia conforme agli accordi interni, qualora non vi si sia opposto (accettazione tacita); ciò vale anche se il rappresentato non aveva conoscenza del comportamento del rappresentante, purché abbia potuto saperne e impedirlo usando della dovuta diligenza (sentenza della CEF 15.2010.021 dell’8 marzo 2010, RtiD 2010 II 717 n. 58c [massima], consid. 3.1, con rinvii). a) Nel caso specifico RE 1 non contesta nel reclamo di essere patrocinato dall’avv. PA 1 – il quale agisce del resto a suo nome nella causa di rigetto (come risulta dal verbale dell’udienza 5 aprile 2016 e dal frontispizio del reclamo) – né rimette in discussione l’accertamento del Pretore, secondo cui egli era già rappresentato dall’avv. PA 1 al momento della consegna del precetto esecutivo (il 23 febbraio 2016) e ne è stato da lui informato (sentenza impugnata, pag. 3 in mezzo), limitandosi a evidenziare di essere stato rappresentato da altri avvocati nella causa di merito all’origine delle spese poste in esecuzione (reclamo, pag. 4). Orbene, la segretaria dell’avv. PA 1 si è limitata a interporre opposizione al precetto esecutivo senza contestare la propria legittimazione a prenderlo in consegna (la crocetta nella casellina accanto alla voce “A un’altra persona” sulla seconda pagina del­l’esemplare del precetto esecutivo per il debitore [doc. 1] è stata infatti apposta dal notificatore e si riferisce al fatto che il destinatario non è l’avv. PA 1) e non si evince né dagli atti né dalle allegazioni del reclamante che la notifica a suo modo di vedere irregolare del precetto esecutivo sia stata segnalata all’ufficio d’ese­­cuzione o impugnata con un ricorso all’autorità di vigilanza. In queste condizioni ben potevano l’ufficio per primo e il Pretore poi confidare nell’esistenza di una procura tacita a favore del­l’avv. PA 1. Ad ogni modo, la nullità invocata dal reclamante non appare sufficientemente manifesta perché possa essere accertata nella causa di rigetto dell’opposizione. La situazione in esame si distingue d’altronde da quella citata dal reclamante (DTF 25 I 119 segg.), in cui l’escusso aveva interposto ricorso all’autorità di vigilanza contro la notifica del precetto esecutivo al proprio patrocinatore. b) A ciò si aggiunge che secondo la giurisprudenza del Tribunale federale il divieto del formalismo eccessivo vieta all’escusso di esigere una nuova notifica dell’atto notificato irregolarmente quando nessun interesse degno di protezione lo richiede (DTF 112 III 85 consid. 2/b). I principi di buona fede e di proibizione dell’abuso di diritto prevalgono infatti sul principio di ritualità (DTF 132 I 253 segg. consid. 6-7). Ora, nel caso in esame non si vede – né il reclamante spiega – quale interesse legittimo giustificherebbe di obbligare l’escutente a ricominciare l’esecuzione daccapo: per il tramite del suo patrocinatore, RE 1 ha infatti interposto opposizione e ha avuto modo di esprimersi esaustivamente sull’istanza in occasione dell’udienza del 5 aprile 2016. Il reclamo va di conseguenza respinto.</w:t>
      </w:r>
    </w:p>
    <w:p>
      <w:r>
        <w:rPr>
          <w:b/>
        </w:rPr>
        <w:t>E. 5.3</w:t>
      </w:r>
    </w:p>
    <w:p>
      <w:r>
        <w:t>Con il giudizio odierno la domanda di effetto sospensivo diventa senza oggetto.</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 Relativamente ai rimedi esperibili sul piano federale (art. 112 cpv. 1 lett. d LTF), il valore litigioso, di fr. 370'500.–, raggiunge senz’altro la soglia di fr. 30'000.– ai fini dell’art. 74 cpv. 1 lett. b LTF. Per questi motivi, pronuncia: 1. Il reclamo è respinto e la sentenza impugnata è confermata. 2. Le spese processuali di complessivi fr. 1'500.– relative al presente giudizio, già anticipate dal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