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14.2016.83 vom 22. November 2016</w:t>
      </w:r>
    </w:p>
    <w:p>
      <w:r>
        <w:t>TI Tribunale d'appello, 2016-11-22, IT</w:t>
      </w:r>
    </w:p>
    <w:p>
      <w:r>
        <w:rPr>
          <w:b/>
        </w:rPr>
        <w:t xml:space="preserve">Quelle: </w:t>
      </w:r>
      <w:r>
        <w:t>https://mcp.opencaselaw.ch/entscheid/ti_gerichte_14.2016.83</w:t>
      </w:r>
    </w:p>
    <w:p>
      <w:r>
        <w:t>FR: TI_GERICHTE 14.2016.83 du 22 novembre 2016</w:t>
      </w:r>
    </w:p>
    <w:p>
      <w:r>
        <w:t>IT: TI_GERICHTE 14.2016.83 del 22 novembre 2016</w:t>
      </w:r>
    </w:p>
    <w:p>
      <w:pPr>
        <w:pStyle w:val="Heading2"/>
      </w:pPr>
      <w:r>
        <w:t>Regeste</w:t>
      </w:r>
    </w:p>
    <w:p>
      <w:r>
        <w:t>Rigetto definitivo dell’opposizione. Decisione di provvigione ad litem e ripetibili quali titoli di rigetto definitivo. Eccezione di compensazione</w:t>
      </w:r>
    </w:p>
    <w:p>
      <w:pPr>
        <w:pStyle w:val="Heading2"/>
      </w:pPr>
      <w:r>
        <w:t>Erwägungen</w:t>
      </w:r>
    </w:p>
    <w:p>
      <w:r>
        <w:rPr>
          <w:b/>
        </w:rPr>
        <w:t>E. 3</w:t>
      </w:r>
    </w:p>
    <w:p>
      <w:r>
        <w:t>Nella decisione impugnata, il Giudice di pace ha premesso che nel suo ruolo di giudice del rigetto la sua decisione andava emessa sulla base della documentazione prodotta senza che egli dovesse “ verificare o calcolare le allegazioni delle parti ”, e questo in particolare se i criteri di calcolo esposti “ non sono notori e sono contestati dalla controparte ”. Egli ha poi considerato che la decisione di provvigione ad litem del Pretore del Distretto di __________ del 16 aprile 2014, regolarmente notificata e passata in giudicato, costituisce un valido titolo di rigetto definitivo dell’op­­posizione nel senso dell’art. 80 LEF. Il primo giudice non ha d’al­­tronde ammesso l’eccezione di compensazione addotta da RE 1, rilevando al proposito che la stessa sarebbe potuta essere sollevata già nella procedura che ha portato alla sentenza pretorile, motivo per cui egli ha integralmente accolto l’istanza.</w:t>
      </w:r>
    </w:p>
    <w:p>
      <w:r>
        <w:rPr>
          <w:b/>
        </w:rPr>
        <w:t>E. 4</w:t>
      </w:r>
    </w:p>
    <w:p>
      <w:r>
        <w:t>Nel reclamo RE 1 rimprovera al Giudice di pace una violazione degli art. 120 cpv. 1 CO e 81 cpv. 1 LEF, ribadendo di non avere potuto sollevare l’eccezione di compensazione prima ancora che il Pretore decidesse in merito alla provisio ad litem e sulle ripetibili accordate all’istante con sentenza passata in giudicato e quindi esecutiva. Ritiene poi che sia il credito concernente la provisio ad litem sia quello relativo alle ripetibili sono crediti compensabili come qualsiasi altro, poiché “ né una né l’altra obbligazione sono assolutamente necessarie al mantenimento del creditore e della sua famiglia ” nel senso dell’art. 125 cifra 2 CO. Infine, anche in questa sede il reclamante ripropone l’eccezione di compensazione del credito dedotto in esecuzione con l’importo dei contributi alimentari versati in eccesso a CO 1, sulla base della sentenza del 20 dicembre 2012 della prima Camera civile del Tribunale d’appello (inc. n. 11.2009.53) e dei conteggi da lui effettuati e prodotti in prima sede.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Nella fattispecie, l’istante fonda la propria pretesa nei confronti del convenuto sulla decisione del 16 aprile 2014 (doc. B) con cui il Pretore del Distretto di Lugano, sezione 4, le ha riconosciuto una provvigione ad litem di fr. 3'500.– a carico dell’escusso. Poiché passata in giudicato, è pacifico che la menzionata decisione, come risulta dal timbro apposto sul retro della stessa, costituisce in sé un valido titolo di rigetto definitivo dell’opposizione non solo per la provisio ad litem ma anche per le ripetibili di fr. 500.– riconosciute a favore di CO 1. Ineccepibile, quindi, la decisione impugnata per quegli importi, ciò che su questo punto il reclamante del resto non contesta.</w:t>
      </w:r>
    </w:p>
    <w:p>
      <w:r>
        <w:rPr>
          <w:b/>
        </w:rPr>
        <w:t>E. 6</w:t>
      </w:r>
    </w:p>
    <w:p>
      <w:r>
        <w:t>Accertato il carattere esecutivo della decisione prodotta da CO 1, l’unica questione da risolvere in questa sede è quella di sapere se l’eccezione di compensazione sollevata dall’escusso è ricevibile, e se sì se sia da accogliere o da respingere.</w:t>
      </w:r>
    </w:p>
    <w:p>
      <w:r>
        <w:rPr>
          <w:b/>
        </w:rPr>
        <w:t>E. 6.1</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w:t>
      </w:r>
    </w:p>
    <w:p>
      <w:r>
        <w:rPr>
          <w:b/>
        </w:rPr>
        <w:t>E. 6.2</w:t>
      </w:r>
    </w:p>
    <w:p>
      <w:r>
        <w:t>Nella fattispecie il Giudice di pace non ha preso in considerazione l’eccezione di compensazione invocata da RE 1, ritenendo che la stessa sarebbe potuta essere sollevata già nella procedura che ha portato alla sentenza pretorile. Il reclamante afferma da parte sua di non essere stato in grado di eccepirla in quella procedura, poiché la decisione sulla provisio ad litem e sulle ripetibili accordate all’istante non era ancora esecutiva. Sen­nonché la compensazione è possibile anche se il credito di cui è chiesta la compensazione non è accertato in una decisione esecutiva: secondo la dottrina unanime è sufficiente che sia adem­pibile nel senso dell’art. 81 CO (tra altri: Peter in: Basler Kommentar, Obligationenrecht I, 6 a ed. 2015, n. 4 ad art. 120 CO; Jeandin in: Commentaire romand, Code des obligations I, 2 a ed. 2012, n. 8 ad art. 120 CO). Ora, sia il diritto della moglie a una provvigione ad litem sia quello all’attribuzione di ripetibili sono sorti già con la domanda giudiziale della moglie, formulata il 28 marzo 2014 (doc. B), ed erano quindi eseguibili da quella data.</w:t>
      </w:r>
    </w:p>
    <w:p>
      <w:r>
        <w:rPr>
          <w:b/>
        </w:rPr>
        <w:t>E. 6.3</w:t>
      </w:r>
    </w:p>
    <w:p>
      <w:r>
        <w:t>D’altronde, per consolidata prassi la compensazione in sede di rigetto dell’opposizione è possibile soltanto qualora il credito che l’escusso oppone in compensazione sia diventato esigibile dopo l’ultimo momento in cui egli avrebbe potuto eccepirla nella procedura che ha portato alla decisione posta a fondamento dell’i­stanza di rigetto (S taehelin in: Basler Kommentar, SchKG I, 2 a ed. 2010, n. 10 ad art. 81 LEF con numerosi riferimenti, in particolare alla sentenza della CEF del 21 settembre 1977 in re Arnold, Rep. 1978 pag. 270) . Nel caso specifico, il credito di restituzione di alimenti che il reclamante afferma di avere versato in troppo era già esigibile da tempo ancora prima dell’avvio della procedura giudiziaria intentata dalla moglie, giacché l’ultimo versamento su cui RE 1 fonda la propria pretesa risale al 30 novembre 2009 (doc. D accluso alle osservazioni all’istanza). L’eccezione in esame risulta pertanto improponibile in questa sede. Infondato, il reclamo va così respinto. Con l’emanazione del­l’odierno giudizio , la domanda di concessione dell’effetto sospen­sivo diventa senza oggetto.</w:t>
      </w:r>
    </w:p>
    <w:p>
      <w:r>
        <w:rPr>
          <w:b/>
        </w:rPr>
        <w:t>E. 7</w:t>
      </w:r>
    </w:p>
    <w:p>
      <w:r>
        <w:t>La tassa del presente giudizio, stabilita in applicazione degli art. 48 e 61 cpv. 1 OTLEF (RS 281.35), segue la soccombenza (art. 106 cpv. 1 CPC). Non si pone invece questione di ripetibili, il reclamo non essendo stato intimato a CO 1 per osservazioni. Circa i rimedi esperibili sul piano federale (art. 112 cpv. 1 lett. d LTF), il valore litigioso, di fr. 4'000.–, non raggiunge la soglia di fr. 30'000.– ai fini dell’art. 74 cpv. 1 lett. b LTF. Per questi motivi, pronuncia: 1. Il reclamo è respinto e la sentenza impugnata è confermata. 2. Le spese processuali di complessivi fr. 360.– relative al presente giudizio, già anticipate dal reclamante, sono poste a suo carico. 3. Notificazione a: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