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14.2016.66 vom 20. Mai 2016</w:t>
      </w:r>
    </w:p>
    <w:p>
      <w:r>
        <w:t>TI Tribunale d'appello, 2016-05-20, IT</w:t>
      </w:r>
    </w:p>
    <w:p>
      <w:r>
        <w:rPr>
          <w:b/>
        </w:rPr>
        <w:t xml:space="preserve">Quelle: </w:t>
      </w:r>
      <w:r>
        <w:t>https://mcp.opencaselaw.ch/entscheid/ti_gerichte_14.2016.66</w:t>
      </w:r>
    </w:p>
    <w:p>
      <w:r>
        <w:t>FR: TI_GERICHTE 14.2016.66 du 20 mai 2016</w:t>
      </w:r>
    </w:p>
    <w:p>
      <w:r>
        <w:t>IT: TI_GERICHTE 14.2016.66 del 20 maggio 2016</w:t>
      </w:r>
    </w:p>
    <w:p>
      <w:pPr>
        <w:pStyle w:val="Heading2"/>
      </w:pPr>
      <w:r>
        <w:t>Regeste</w:t>
      </w:r>
    </w:p>
    <w:p>
      <w:r>
        <w:t>Rigetto provvisorio dell’opposizione. Convalida di sequestro. Contratto di divisione ereditaria. Conguaglio le cui modalità di pagamento sono subordinato a un accordo tra le parti. Interpretazione e volontà delle parti in merito all’esigibilità del credito</w:t>
      </w:r>
    </w:p>
    <w:p>
      <w:pPr>
        <w:pStyle w:val="Heading2"/>
      </w:pPr>
      <w:r>
        <w:t>Erwägungen</w:t>
      </w:r>
    </w:p>
    <w:p>
      <w:r>
        <w:rPr>
          <w:b/>
        </w:rPr>
        <w:t>E. 3</w:t>
      </w:r>
    </w:p>
    <w:p>
      <w:r>
        <w:t>Nella decisione impugnata, il Pretore ha sostanzialmente ribadito quanto esposto nella decisione sull’opposizione al sequestro del 19 febbraio 2016 (inc. __________). A suo parere la tesi del­l’escusso, secondo cui in assenza di accordo tra le parti il credito non sarebbe ancora esigibile, risulta più affine al tenore letterale dell’accordo che non la tesi della creditrice, secondo cui troverebbe applicazione l’art. 75 CO, per cui l’adempimento dell’obbli­gazione può essere chiesto ed eseguito immediatamente ove la scadenza non risulti né dal contratto né dalla natura del contratto. Il primo giudice ha poi ammesso che, interpretando l’accordo alla lettera, RE 1 “si è esposta al rischio che la controparte possa cercare di sottrarsi al suo raggiungimento ad vitam aeternam” , ma egli ha anche constatato che volendo applicare l’art. 75 CO, le decisioni inerenti alle modalità e ai tempi d’estinzione del credito “sarebbero unilateralmente nelle mani della creditrice sequestrante, ciò che cozza con il tenore letterale del testo, nonché quello che appare essere lo spirito del punto</w:t>
      </w:r>
    </w:p>
    <w:p>
      <w:r>
        <w:rPr>
          <w:b/>
        </w:rPr>
        <w:t>E. 4</w:t>
      </w:r>
    </w:p>
    <w:p>
      <w:r>
        <w:t>Nel reclamo RE 1 sostiene anzitutto che il Pretore abbia violato l’art. 18 CO, non tenendo conto del fatto che la vera e concorde intenzione delle parti non era quella di far dipendere il rimborso dalla sola volontà del debitore, altrimenti il credito in questione non potrebbe mai essere incassato . La reclamante ricorda di aver sollecitato numerose volte il pagamento del credito, senza mai ottenere alcun riscontro dal proprio fratello, il quale non vuole accordarsi né sulle modalità, né sui tempi di pagamento. In assenza totale di una tale volontà da parte del debitore sarebbe quindi applicabile l’art. 75 CO. Per averle inoltre addossato l’onere di dimostrare di aver proposto un accordo, ciò che spetterebbe invece a CO 1, il Pretore avrebbe inoltre violato anche gli art. 8 e 2 CC (onere della prova e osservanza della buona fede). Infine la reclamante conclude per il rigetto dell’op­posizione interposta dal debitore, sottolineando che anche l’am­montare del credito è provato.</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Secondo la giurisprudenza incombe all’escutente non solo di produrre un titolo di rigetto ai sensi dell’art. 82 cpv. 1 LEF, ma pure di dimostrare (e non solo rendere verosimile: sentenza del Tribunale federale 5A_741/2013 del 3 aprile 2014, consid. 3.1.3 con rimandi), con documenti, l’esigibilità del credito posto in esecuzione prima dell’inoltro dell’esecuzione (sentenza del Tri­bunale federale 5A_303/2013 del 24 settembre 2013 consid. 4.1, con rimandi; sentenza della CEF 14.2002.40/41 del 14 agosto 2002, consid. 5.3; Staehelin , in: Basler Kommentar zum SchKG, vol. I, 2 a ed. 2010, n. 79 ad art. 82 LEF, con rinvii) , ove essa non risulti già dal titolo di rigetto (sentenza della CEF 14.2015.65 del­l’11 agosto 2015, consid. 5).</w:t>
      </w:r>
    </w:p>
    <w:p>
      <w:r>
        <w:rPr>
          <w:b/>
        </w:rPr>
        <w:t>E. 6</w:t>
      </w:r>
    </w:p>
    <w:p>
      <w:r>
        <w:t>Nella fattispecie è controversa anzitutto l’esigibilità del credito a favore della sequestrante, stabilita al punto 4 dell’accordo 9 aprile 2013.</w:t>
      </w:r>
    </w:p>
    <w:p>
      <w:r>
        <w:rPr>
          <w:b/>
        </w:rPr>
        <w:t>E. 6.1</w:t>
      </w:r>
    </w:p>
    <w:p>
      <w:r>
        <w:t>Giusta l’art. 18 cpv. 1 CO un contratto va interpretato, sia per la forma che per il contenuto, indagando sulla vera e concorde volontà dei contraenti. In base a questi principi, il giudice è innanzitutto tenuto ad esaminare se l’istruttoria abbia permesso di accertare l’esistenza di una concorde e comune volontà dei contraenti (interpretazione soggettiva) e in tal caso ad indicarne il contenuto. Solo quando non vi sono accertamenti di fatto sulla reale concordanza della volontà delle parti o se la volontà intima delle parti è divergente, il giudice deve interpretare le dichiarazioni e i comportamenti delle parti secondo il principio dell’affi­­damento, ossia secondo il senso che ogni parte poteva e doveva ragionevolmente attribuire alle dichiarazioni di volontà dell’altra nella situazione concreta (DTF 133 III 675 consid. 3.3; 132 III 268 consid. 2.3.2; 131 III 606 consid. 4.1; sentenza della IICCA 12.2013.141 del 9 aprile 2015, consid. 8 con rinvii). Riassuntivamente, per l’interpretazione di dichiarazioni scritte occorre innanzitutto riferirsi al testo delle stesse. Anche se il tenore di una clausola contrattuale appare chiaro, dalle altre condizioni menzionate nel contratto, dallo scopo perseguito dalle parti o da altre circostanze può risultare che esso non restituisce con esattezza il senso dell’accordo, che dev’essere quindi dedotto per interpretazione (v. DTF 127 III 444 consid. 1/b; sentenza della II CCA 12.2009.174 del 23 aprile 2012 consid. 4 ).</w:t>
      </w:r>
    </w:p>
    <w:p>
      <w:r>
        <w:rPr>
          <w:b/>
        </w:rPr>
        <w:t>E. 6.2</w:t>
      </w:r>
    </w:p>
    <w:p>
      <w:r>
        <w:t>In concreto, la clausola da interpretare ha il seguente tenore: “Per compensare i differenti valori convenzionali di cui ai punti 2 e 3, è stabilito un conguaglio in denaro di Euro 1'000'000.– dovuto da CO 1 a RE 1, da regolarsi con modalità e tempi da determinarsi di comune accordo tra i Fratelli” (doc. B, pag. 2, punto 4). Ora, come già rilevato dal Pretore, secondo il testo della clausola appena citata il versamento del conguaglio è esplicitamente subordinato al raggiungimento di un accordo per quanto riguarda le modalità e i tempi di trasferimento del denaro. Il testo della pattuizione è chia­ro e non appaiono date circostanze – che la reclamante neppure allega – dalle quali si possa dedurre che l’accordo non rispecchi­erebbe la concorde e comune volontà dei contraenti. Che il man­cato raggiungimento di un’intesa sulle modalità e sui tempi di adempimento dell’accordo ne impedisca l’esecuzione non giustifica, contrariamente a quanto crede la reclamante, di considerarlo difforme dalla volontà delle parti. Semplicemente, come in tutti i casi in cui le parti non riescano a mettersi d’accordo sull’esecu­zione di un’obbligazione, esse hanno la possibilità di adire il giudice per statuire in modo vincolante sulla controversia, segnatamente con un’azione di divisione dell’eredità intesa a regolare tutti i punti di disaccordo (nella fattispecie risultano tali anche altre questioni su cui non era ancora stato raggiunto un’intesa al momento della sottoscrizione dell’accordo 9 aprile 2013, v. doc. B, punti 8 in fine e 10).</w:t>
      </w:r>
    </w:p>
    <w:p>
      <w:r>
        <w:rPr>
          <w:b/>
        </w:rPr>
        <w:t>E. 6.3</w:t>
      </w:r>
    </w:p>
    <w:p>
      <w:r>
        <w:t>Avendo, pertanto, le parti regolato espressamente la questione dell’esigibilità del conguaglio, a prescindere dall’applicabilità del diritto svizzero non vi è spazio per la norma dispositiva dell’art. 75 CO, secondo cui “può essere chiesto ed eseguito immediatamente l’adempimento di un’obbligazione, per la quale il tempo non sia determinato né dal contratto né dalla natura del rapporto giuridico ” . Nulla si può così rimproverare al Pretore, giacché la reclamante, cui incombeva la prova dell’esigibilità del titolo di rigetto dell’opposi­zione (sopra consid. 5) , ammette di non avere raggiunto un accordo con il fratello sulle modalità e sui tempi di esecuzione del conguaglio. 6.4  RE 1 , invero, sostiene di aver chiesto diverse volte il versamento del conguaglio, sottolineando che suo fratello CO 1 non ha alcuna intenzione di accordarsi con lei sulle modalità e i tempi di pagamento. Per lei spettava a lui dimostrare di aver formulato una proposta di regolamento. A parte il fatto che la reclamante non ha provato di aver cercato di raggiungere un’intesa con suo fratello, essendosi apparentemente limitata a sollecitare il pagamento del credito (doc. E e F), senza dimenticare ch’essa non contesta di aver proceduto a incassare il credito con decisioni proprie in merito alle collezioni di monete e di armi senza interpellare suo fratello, si evince dalla documentazione prodotta da quest’ultimo (doc. 4 e 5) ch’egli ha offerto la propria disponibilità per una discussione o un incontro tesi a chiarire tutte le pendenze tra le parti. Poco importa del resto a quale parte si possa addebitare la colpa della mancata intesa. Ancora una volta, onde addivenire a una soluzione rimane pur sempre per l’istante la facoltà di adire il giudice. Stante l’attuale inesigibilità del credito vantato dalla reclamante, il reclamo non può ch’essere respinto.</w:t>
      </w:r>
    </w:p>
    <w:p>
      <w:r>
        <w:rPr>
          <w:b/>
        </w:rPr>
        <w:t>E. 7</w:t>
      </w:r>
    </w:p>
    <w:p>
      <w:r>
        <w:t>La tassa del presente giudizio, stabilita in applicazione degli art. 48 e 61 cpv. 1 OTLEF (RS 281.35) , segue la soccombenza (art. 106 cpv. 2 CPC). Non si pone invece problema di ripetibili, l’ordi­­nanza 5 aprile 2016 che conteneva l’assegnazione di un termine per presentare le proprie osservazioni essendo stata annullata. Circa i rimedi esperibili sul piano federale (art. 112 cpv. 1 lett. d LTF), il valore litigioso, di fr. 489'455.08, raggiunge la soglia di fr. 30'000.– ai fini dell’art. 74 cpv. 1 lett. b LTF. Per questi motivi, pronuncia: 1. Il reclamo è respinto e la sentenza impugnata è confermata. 2. Le spese processuali di complessivi fr. 450.– relative al presente giudizio, già anticipate dalla reclamante, sono poste a suo carico.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